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2F258" w14:textId="23A66A68" w:rsidR="007D1D99" w:rsidRDefault="00A54820" w:rsidP="00A54820">
      <w:pPr>
        <w:pStyle w:val="Title"/>
      </w:pPr>
      <w:r>
        <w:t>GHG Inventory and Impact Graph Documentation</w:t>
      </w:r>
    </w:p>
    <w:p w14:paraId="424CE69B" w14:textId="503BED24" w:rsidR="008A60D9" w:rsidRDefault="008A60D9" w:rsidP="008A60D9">
      <w:pPr>
        <w:pStyle w:val="Heading1"/>
      </w:pPr>
      <w:r>
        <w:t>Purpose</w:t>
      </w:r>
    </w:p>
    <w:p w14:paraId="26054D6E" w14:textId="2FD4B327" w:rsidR="008A60D9" w:rsidRPr="008A60D9" w:rsidRDefault="008A60D9" w:rsidP="008A60D9">
      <w:r>
        <w:tab/>
        <w:t xml:space="preserve">To provide a high level overview of the methodology used in the </w:t>
      </w:r>
      <w:r w:rsidR="00D65326">
        <w:t>GHG grap</w:t>
      </w:r>
      <w:r w:rsidR="00D83C49">
        <w:t>hs prepared for Chapter 1</w:t>
      </w:r>
      <w:r w:rsidR="00D65326">
        <w:t xml:space="preserve"> of the SB 350 filing.  The summary will outline the data sources </w:t>
      </w:r>
      <w:r w:rsidR="00F140B7">
        <w:t>and</w:t>
      </w:r>
      <w:r w:rsidR="00D65326">
        <w:t xml:space="preserve"> the methodology </w:t>
      </w:r>
      <w:r w:rsidR="00527CB0">
        <w:t>selected</w:t>
      </w:r>
      <w:r w:rsidR="00D65326">
        <w:t xml:space="preserve">.  </w:t>
      </w:r>
    </w:p>
    <w:p w14:paraId="1927EFD7" w14:textId="77777777" w:rsidR="00A54820" w:rsidRDefault="00A54820" w:rsidP="00A54820">
      <w:pPr>
        <w:pStyle w:val="Heading1"/>
      </w:pPr>
      <w:r>
        <w:t>Summary</w:t>
      </w:r>
    </w:p>
    <w:p w14:paraId="3257B7C7" w14:textId="447451C0" w:rsidR="00CD160E" w:rsidRDefault="00CD160E" w:rsidP="00A54820">
      <w:r>
        <w:tab/>
        <w:t>The</w:t>
      </w:r>
      <w:r w:rsidR="00F31333">
        <w:t xml:space="preserve"> </w:t>
      </w:r>
      <w:r>
        <w:t>graphs</w:t>
      </w:r>
      <w:r w:rsidR="00F31333">
        <w:t xml:space="preserve"> shown in the Vision &amp; Policy chapter</w:t>
      </w:r>
      <w:r>
        <w:t xml:space="preserve"> compare estimates of SDG&amp;E’s service territory’s:</w:t>
      </w:r>
    </w:p>
    <w:p w14:paraId="60276612" w14:textId="448CC8F5" w:rsidR="00CD160E" w:rsidRDefault="00105173" w:rsidP="00CD160E">
      <w:pPr>
        <w:pStyle w:val="ListParagraph"/>
        <w:numPr>
          <w:ilvl w:val="0"/>
          <w:numId w:val="1"/>
        </w:numPr>
      </w:pPr>
      <w:r>
        <w:t>H</w:t>
      </w:r>
      <w:r w:rsidR="00CD160E">
        <w:t xml:space="preserve">istorical GHG estimates, </w:t>
      </w:r>
    </w:p>
    <w:p w14:paraId="72EAD1AD" w14:textId="18445D25" w:rsidR="00CD160E" w:rsidRDefault="00105173" w:rsidP="00CD160E">
      <w:pPr>
        <w:pStyle w:val="ListParagraph"/>
        <w:numPr>
          <w:ilvl w:val="0"/>
          <w:numId w:val="1"/>
        </w:numPr>
      </w:pPr>
      <w:r>
        <w:t>F</w:t>
      </w:r>
      <w:r w:rsidR="00CD160E">
        <w:t xml:space="preserve">orecasted emissions under approved programs, </w:t>
      </w:r>
    </w:p>
    <w:p w14:paraId="2C28C4BA" w14:textId="187555DA" w:rsidR="00A54820" w:rsidRDefault="00105173" w:rsidP="00CD160E">
      <w:pPr>
        <w:pStyle w:val="ListParagraph"/>
        <w:numPr>
          <w:ilvl w:val="0"/>
          <w:numId w:val="1"/>
        </w:numPr>
      </w:pPr>
      <w:r>
        <w:t>E</w:t>
      </w:r>
      <w:r w:rsidR="00CD160E">
        <w:t>stimated</w:t>
      </w:r>
      <w:r w:rsidR="00F140B7">
        <w:t xml:space="preserve"> GHG reduction goals for the on-road and off-road</w:t>
      </w:r>
      <w:r w:rsidR="00CD160E">
        <w:t xml:space="preserve"> transportation sectors,</w:t>
      </w:r>
    </w:p>
    <w:p w14:paraId="3A9E35E5" w14:textId="5FEB2A90" w:rsidR="00CD160E" w:rsidRDefault="00105173" w:rsidP="00CD160E">
      <w:pPr>
        <w:pStyle w:val="ListParagraph"/>
        <w:numPr>
          <w:ilvl w:val="0"/>
          <w:numId w:val="1"/>
        </w:numPr>
      </w:pPr>
      <w:r>
        <w:t>GHG</w:t>
      </w:r>
      <w:r w:rsidR="00CD160E">
        <w:t xml:space="preserve"> reductions from proposed programs, and</w:t>
      </w:r>
    </w:p>
    <w:p w14:paraId="23B2CC24" w14:textId="0F44AC76" w:rsidR="00CD160E" w:rsidRDefault="00105173" w:rsidP="00CD160E">
      <w:pPr>
        <w:pStyle w:val="ListParagraph"/>
        <w:numPr>
          <w:ilvl w:val="0"/>
          <w:numId w:val="1"/>
        </w:numPr>
      </w:pPr>
      <w:r>
        <w:t xml:space="preserve">GHG reductions from </w:t>
      </w:r>
      <w:r w:rsidR="0060555F">
        <w:t>increasing program size to 10x and 20x proposed sizes.</w:t>
      </w:r>
    </w:p>
    <w:p w14:paraId="0D7F524F" w14:textId="71B5A5FB" w:rsidR="00E110C0" w:rsidRDefault="00E110C0" w:rsidP="0060555F"/>
    <w:p w14:paraId="7501C78B" w14:textId="73480D92" w:rsidR="00D83C49" w:rsidRDefault="00C9571F" w:rsidP="00365EBC">
      <w:pPr>
        <w:pStyle w:val="Heading2"/>
      </w:pPr>
      <w:r>
        <w:t>Chart 1 – Illustrative: California and San Diego Regional Green House Gas Reduction Goals</w:t>
      </w:r>
    </w:p>
    <w:p w14:paraId="134D3FE7" w14:textId="64340661" w:rsidR="00D83C49" w:rsidRDefault="00CE4EC9" w:rsidP="00CE4E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AFC60" wp14:editId="43E4E055">
                <wp:simplePos x="0" y="0"/>
                <wp:positionH relativeFrom="column">
                  <wp:posOffset>3904090</wp:posOffset>
                </wp:positionH>
                <wp:positionV relativeFrom="paragraph">
                  <wp:posOffset>1538329</wp:posOffset>
                </wp:positionV>
                <wp:extent cx="2639751" cy="2090779"/>
                <wp:effectExtent l="0" t="0" r="2730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751" cy="20907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02E8E5" w14:textId="64621ABA" w:rsidR="00CE4EC9" w:rsidRPr="006500AA" w:rsidRDefault="00CE4EC9" w:rsidP="00CE4EC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500AA">
                              <w:rPr>
                                <w:b/>
                                <w:u w:val="single"/>
                              </w:rPr>
                              <w:t>SDG&amp;E</w:t>
                            </w:r>
                          </w:p>
                          <w:p w14:paraId="7CAD550E" w14:textId="09FA2995" w:rsidR="00CE4EC9" w:rsidRDefault="00CE4EC9" w:rsidP="00CE4EC9">
                            <w:r>
                              <w:t>Historical: Estimated</w:t>
                            </w:r>
                            <w:r w:rsidR="00632FBD">
                              <w:t xml:space="preserve"> </w:t>
                            </w:r>
                            <w:r w:rsidR="00C032C0">
                              <w:t>as a percentage</w:t>
                            </w:r>
                            <w:r w:rsidR="00F140B7">
                              <w:t xml:space="preserve"> of </w:t>
                            </w:r>
                            <w:r w:rsidR="00632FBD">
                              <w:t xml:space="preserve">CA historical emissions.  </w:t>
                            </w:r>
                          </w:p>
                          <w:p w14:paraId="20A4FF50" w14:textId="3A0AA5BE" w:rsidR="00CE4EC9" w:rsidRDefault="00CE4EC9" w:rsidP="00CE4EC9">
                            <w:r>
                              <w:t>Goals:</w:t>
                            </w:r>
                            <w:r w:rsidR="00584232">
                              <w:t xml:space="preserve"> Estimated </w:t>
                            </w:r>
                            <w:r w:rsidR="00C032C0">
                              <w:t>as a percentage</w:t>
                            </w:r>
                            <w:r w:rsidR="00103FDA">
                              <w:t xml:space="preserve"> of statewide emission goals</w:t>
                            </w:r>
                          </w:p>
                          <w:p w14:paraId="74E35209" w14:textId="40FA59BE" w:rsidR="00CE4EC9" w:rsidRDefault="00CE4EC9" w:rsidP="00CE4EC9">
                            <w:r>
                              <w:t>Forecast:</w:t>
                            </w:r>
                            <w:r w:rsidR="00632FBD">
                              <w:t xml:space="preserve"> </w:t>
                            </w:r>
                            <w:r w:rsidR="00C032C0">
                              <w:t>Calculated as a percentage</w:t>
                            </w:r>
                            <w:r w:rsidR="00103FDA">
                              <w:t xml:space="preserve"> of the “Projection to Goal”</w:t>
                            </w:r>
                            <w:r w:rsidR="00F140B7">
                              <w:t xml:space="preserve"> forecast</w:t>
                            </w:r>
                            <w:r w:rsidR="00103FDA">
                              <w:t xml:space="preserve"> for California.</w:t>
                            </w:r>
                          </w:p>
                          <w:p w14:paraId="4FCF2964" w14:textId="77777777" w:rsidR="00CE4EC9" w:rsidRDefault="00CE4EC9" w:rsidP="00CE4EC9"/>
                          <w:p w14:paraId="5973C090" w14:textId="77777777" w:rsidR="00CE4EC9" w:rsidRDefault="00CE4EC9" w:rsidP="00CE4EC9"/>
                          <w:p w14:paraId="48AF28FB" w14:textId="77777777" w:rsidR="00CE4EC9" w:rsidRDefault="00CE4EC9" w:rsidP="00CE4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AFC60" id="Rectangle 3" o:spid="_x0000_s1026" style="position:absolute;margin-left:307.4pt;margin-top:121.15pt;width:207.85pt;height:16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" fillcolor="white [3201]" strokecolor="#4472c4 [3208]" strokeweight="1pt">
                <v:textbox>
                  <w:txbxContent>
                    <w:p w14:paraId="1A02E8E5" w14:textId="64621ABA" w:rsidR="00CE4EC9" w:rsidRPr="006500AA" w:rsidRDefault="00CE4EC9" w:rsidP="00CE4EC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6500AA">
                        <w:rPr>
                          <w:b/>
                          <w:u w:val="single"/>
                        </w:rPr>
                        <w:t>SDG&amp;E</w:t>
                      </w:r>
                    </w:p>
                    <w:p w14:paraId="7CAD550E" w14:textId="09FA2995" w:rsidR="00CE4EC9" w:rsidRDefault="00CE4EC9" w:rsidP="00CE4EC9">
                      <w:r>
                        <w:t>Historical: Estimated</w:t>
                      </w:r>
                      <w:r w:rsidR="00632FBD">
                        <w:t xml:space="preserve"> </w:t>
                      </w:r>
                      <w:r w:rsidR="00C032C0">
                        <w:t>as a percentage</w:t>
                      </w:r>
                      <w:r w:rsidR="00F140B7">
                        <w:t xml:space="preserve"> of </w:t>
                      </w:r>
                      <w:r w:rsidR="00632FBD">
                        <w:t xml:space="preserve">CA historical emissions.  </w:t>
                      </w:r>
                    </w:p>
                    <w:p w14:paraId="20A4FF50" w14:textId="3A0AA5BE" w:rsidR="00CE4EC9" w:rsidRDefault="00CE4EC9" w:rsidP="00CE4EC9">
                      <w:r>
                        <w:t>Goals:</w:t>
                      </w:r>
                      <w:r w:rsidR="00584232">
                        <w:t xml:space="preserve"> Estimated </w:t>
                      </w:r>
                      <w:r w:rsidR="00C032C0">
                        <w:t>as a percentage</w:t>
                      </w:r>
                      <w:r w:rsidR="00103FDA">
                        <w:t xml:space="preserve"> of statewide emission goals</w:t>
                      </w:r>
                    </w:p>
                    <w:p w14:paraId="74E35209" w14:textId="40FA59BE" w:rsidR="00CE4EC9" w:rsidRDefault="00CE4EC9" w:rsidP="00CE4EC9">
                      <w:r>
                        <w:t>Forecast:</w:t>
                      </w:r>
                      <w:r w:rsidR="00632FBD">
                        <w:t xml:space="preserve"> </w:t>
                      </w:r>
                      <w:r w:rsidR="00C032C0">
                        <w:t>Calculated as a percentage</w:t>
                      </w:r>
                      <w:r w:rsidR="00103FDA">
                        <w:t xml:space="preserve"> of the “Projection to Goal”</w:t>
                      </w:r>
                      <w:r w:rsidR="00F140B7">
                        <w:t xml:space="preserve"> forecast</w:t>
                      </w:r>
                      <w:r w:rsidR="00103FDA">
                        <w:t xml:space="preserve"> for California.</w:t>
                      </w:r>
                    </w:p>
                    <w:p w14:paraId="4FCF2964" w14:textId="77777777" w:rsidR="00CE4EC9" w:rsidRDefault="00CE4EC9" w:rsidP="00CE4EC9"/>
                    <w:p w14:paraId="5973C090" w14:textId="77777777" w:rsidR="00CE4EC9" w:rsidRDefault="00CE4EC9" w:rsidP="00CE4EC9"/>
                    <w:p w14:paraId="48AF28FB" w14:textId="77777777" w:rsidR="00CE4EC9" w:rsidRDefault="00CE4EC9" w:rsidP="00CE4EC9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1E784" wp14:editId="05E322DC">
                <wp:simplePos x="0" y="0"/>
                <wp:positionH relativeFrom="column">
                  <wp:posOffset>3863975</wp:posOffset>
                </wp:positionH>
                <wp:positionV relativeFrom="paragraph">
                  <wp:posOffset>34925</wp:posOffset>
                </wp:positionV>
                <wp:extent cx="2679065" cy="1375410"/>
                <wp:effectExtent l="0" t="0" r="26035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065" cy="1375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B00EC" w14:textId="6E174BD4" w:rsidR="00C85966" w:rsidRPr="006500AA" w:rsidRDefault="00E26A4C" w:rsidP="00C8596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6500AA">
                              <w:rPr>
                                <w:b/>
                                <w:u w:val="single"/>
                              </w:rPr>
                              <w:t>California</w:t>
                            </w:r>
                          </w:p>
                          <w:p w14:paraId="149B21AA" w14:textId="264F898E" w:rsidR="00E26A4C" w:rsidRDefault="00E26A4C" w:rsidP="00E26A4C">
                            <w:r>
                              <w:t>Historical: ARB 2014 Scoping Plan</w:t>
                            </w:r>
                          </w:p>
                          <w:p w14:paraId="0B88DD84" w14:textId="3B9969E5" w:rsidR="00E26A4C" w:rsidRDefault="00E26A4C" w:rsidP="00E26A4C">
                            <w:r>
                              <w:t>Goals: ARB</w:t>
                            </w:r>
                            <w:r w:rsidR="00CE4EC9">
                              <w:t xml:space="preserve"> 2014 Scoping Plan</w:t>
                            </w:r>
                          </w:p>
                          <w:p w14:paraId="7DEDA36C" w14:textId="3184C0BB" w:rsidR="00E26A4C" w:rsidRDefault="00CE4EC9" w:rsidP="00E26A4C">
                            <w:r>
                              <w:t>Forecast: Calculated using differ</w:t>
                            </w:r>
                            <w:r w:rsidR="00632FBD">
                              <w:t>ence between historical emissions and</w:t>
                            </w:r>
                            <w:r>
                              <w:t xml:space="preserve"> goals.</w:t>
                            </w:r>
                          </w:p>
                          <w:p w14:paraId="7C3ABF0C" w14:textId="77777777" w:rsidR="00E26A4C" w:rsidRDefault="00E26A4C" w:rsidP="00E26A4C"/>
                          <w:p w14:paraId="52662C89" w14:textId="34C76986" w:rsidR="00E26A4C" w:rsidRDefault="00E26A4C" w:rsidP="00E26A4C"/>
                          <w:p w14:paraId="612806C7" w14:textId="77777777" w:rsidR="00E26A4C" w:rsidRDefault="00E26A4C" w:rsidP="00E26A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1E784" id="Rectangle 2" o:spid="_x0000_s1027" style="position:absolute;margin-left:304.25pt;margin-top:2.75pt;width:210.95pt;height:10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" fillcolor="white [3201]" strokecolor="#4472c4 [3208]" strokeweight="1pt">
                <v:textbox>
                  <w:txbxContent>
                    <w:p w14:paraId="16AB00EC" w14:textId="6E174BD4" w:rsidR="00C85966" w:rsidRPr="006500AA" w:rsidRDefault="00E26A4C" w:rsidP="00C8596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6500AA">
                        <w:rPr>
                          <w:b/>
                          <w:u w:val="single"/>
                        </w:rPr>
                        <w:t>California</w:t>
                      </w:r>
                    </w:p>
                    <w:p w14:paraId="149B21AA" w14:textId="264F898E" w:rsidR="00E26A4C" w:rsidRDefault="00E26A4C" w:rsidP="00E26A4C">
                      <w:r>
                        <w:t>Historical: ARB 2014 Scoping Plan</w:t>
                      </w:r>
                    </w:p>
                    <w:p w14:paraId="0B88DD84" w14:textId="3B9969E5" w:rsidR="00E26A4C" w:rsidRDefault="00E26A4C" w:rsidP="00E26A4C">
                      <w:r>
                        <w:t>Goals: ARB</w:t>
                      </w:r>
                      <w:r w:rsidR="00CE4EC9">
                        <w:t xml:space="preserve"> 2014 Scoping Plan</w:t>
                      </w:r>
                    </w:p>
                    <w:p w14:paraId="7DEDA36C" w14:textId="3184C0BB" w:rsidR="00E26A4C" w:rsidRDefault="00CE4EC9" w:rsidP="00E26A4C">
                      <w:r>
                        <w:t>Forecast: Calculated using differ</w:t>
                      </w:r>
                      <w:r w:rsidR="00632FBD">
                        <w:t>ence between historical emissions and</w:t>
                      </w:r>
                      <w:r>
                        <w:t xml:space="preserve"> goals.</w:t>
                      </w:r>
                    </w:p>
                    <w:p w14:paraId="7C3ABF0C" w14:textId="77777777" w:rsidR="00E26A4C" w:rsidRDefault="00E26A4C" w:rsidP="00E26A4C"/>
                    <w:p w14:paraId="52662C89" w14:textId="34C76986" w:rsidR="00E26A4C" w:rsidRDefault="00E26A4C" w:rsidP="00E26A4C"/>
                    <w:p w14:paraId="612806C7" w14:textId="77777777" w:rsidR="00E26A4C" w:rsidRDefault="00E26A4C" w:rsidP="00E26A4C"/>
                  </w:txbxContent>
                </v:textbox>
              </v:rect>
            </w:pict>
          </mc:Fallback>
        </mc:AlternateContent>
      </w:r>
      <w:r w:rsidR="00C9571F" w:rsidRPr="00A5782A">
        <w:rPr>
          <w:noProof/>
        </w:rPr>
        <w:drawing>
          <wp:inline distT="0" distB="0" distL="0" distR="0" wp14:anchorId="11767C09" wp14:editId="5AF6F25E">
            <wp:extent cx="3753015" cy="3737113"/>
            <wp:effectExtent l="0" t="0" r="0" b="158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7B054A2" w14:textId="1C4CF54B" w:rsidR="00C81CCE" w:rsidRDefault="00365EBC" w:rsidP="008722FA">
      <w:pPr>
        <w:pStyle w:val="Heading3"/>
        <w:ind w:firstLine="360"/>
      </w:pPr>
      <w:r>
        <w:lastRenderedPageBreak/>
        <w:t>Key Assumptions</w:t>
      </w:r>
    </w:p>
    <w:p w14:paraId="4CF5EFC9" w14:textId="5D22A630" w:rsidR="00365EBC" w:rsidRDefault="00365EBC" w:rsidP="00946CD2">
      <w:pPr>
        <w:pStyle w:val="ListParagraph"/>
        <w:numPr>
          <w:ilvl w:val="0"/>
          <w:numId w:val="1"/>
        </w:numPr>
      </w:pPr>
      <w:r>
        <w:t>Assumes SDG&amp;E s</w:t>
      </w:r>
      <w:r w:rsidR="00F140B7">
        <w:t>ervice territory represents 9.4</w:t>
      </w:r>
      <w:r>
        <w:t>% of California’s emissions.</w:t>
      </w:r>
      <w:r>
        <w:rPr>
          <w:rStyle w:val="FootnoteReference"/>
        </w:rPr>
        <w:footnoteReference w:id="1"/>
      </w:r>
      <w:r>
        <w:t xml:space="preserve">  </w:t>
      </w:r>
    </w:p>
    <w:p w14:paraId="6F2E1878" w14:textId="32AC2D1A" w:rsidR="00632FBD" w:rsidRDefault="006500AA" w:rsidP="008722FA">
      <w:pPr>
        <w:pStyle w:val="Heading3"/>
        <w:ind w:left="360"/>
      </w:pPr>
      <w:r>
        <w:t>Methodology for SDG&amp;E Estimates</w:t>
      </w:r>
    </w:p>
    <w:p w14:paraId="1703A6AD" w14:textId="09858B1C" w:rsidR="006500AA" w:rsidRDefault="000618C2" w:rsidP="006500AA">
      <w:r w:rsidRPr="00655DC6">
        <w:rPr>
          <w:b/>
        </w:rPr>
        <w:t>Historical</w:t>
      </w:r>
      <w:r>
        <w:t xml:space="preserve"> - SDG&amp;E’s historical emissions are estimate</w:t>
      </w:r>
      <w:r w:rsidR="003F2EC2">
        <w:t>d using an allocation factor</w:t>
      </w:r>
      <w:r w:rsidR="0045235D">
        <w:t xml:space="preserve"> of 9.4%</w:t>
      </w:r>
      <w:r w:rsidR="00275C45">
        <w:t xml:space="preserve">.  </w:t>
      </w:r>
      <w:r w:rsidR="008802BB">
        <w:t xml:space="preserve">This method assumes that </w:t>
      </w:r>
      <w:r w:rsidR="00730962">
        <w:t>SDG&amp;E’s relative emission levels mirror the emissions patterns of the state</w:t>
      </w:r>
      <w:r w:rsidR="008802BB">
        <w:t>.</w:t>
      </w:r>
      <w:r w:rsidR="000054D9">
        <w:t xml:space="preserve"> </w:t>
      </w:r>
    </w:p>
    <w:p w14:paraId="33A00598" w14:textId="77777777" w:rsidR="00095B4A" w:rsidRDefault="00095B4A" w:rsidP="00095B4A">
      <w:pPr>
        <w:pStyle w:val="Heading2"/>
      </w:pPr>
      <w:r>
        <w:t>Chart 2 – Illustrative: On-Road and Off-Road Transportation Emissions</w:t>
      </w:r>
    </w:p>
    <w:p w14:paraId="130CF922" w14:textId="15741199" w:rsidR="000D61D7" w:rsidRDefault="00EA1766" w:rsidP="0010517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E4750" wp14:editId="240648EE">
                <wp:simplePos x="0" y="0"/>
                <wp:positionH relativeFrom="column">
                  <wp:posOffset>3156668</wp:posOffset>
                </wp:positionH>
                <wp:positionV relativeFrom="paragraph">
                  <wp:posOffset>52539</wp:posOffset>
                </wp:positionV>
                <wp:extent cx="3267986" cy="3156668"/>
                <wp:effectExtent l="0" t="0" r="27940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986" cy="31566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A3506" w14:textId="1E9828A6" w:rsidR="00EA1766" w:rsidRDefault="004C0A34" w:rsidP="00EA1766">
                            <w:r>
                              <w:t>Forecasted Emissions Under Current Controls</w:t>
                            </w:r>
                            <w:r w:rsidR="00EA1766">
                              <w:t xml:space="preserve">: </w:t>
                            </w:r>
                            <w:r w:rsidR="00B37DE3">
                              <w:t>ARB Vision 2.1 and Vision 2.0 Models</w:t>
                            </w:r>
                          </w:p>
                          <w:p w14:paraId="641F57DF" w14:textId="31CEC1C2" w:rsidR="00315FF6" w:rsidRDefault="00B402BE" w:rsidP="00EA1766">
                            <w:r>
                              <w:t xml:space="preserve">Goals: </w:t>
                            </w:r>
                            <w:r w:rsidR="00B7115A">
                              <w:t xml:space="preserve">ARB 2014 Scoping Plan and </w:t>
                            </w:r>
                            <w:r>
                              <w:t>EPIC S</w:t>
                            </w:r>
                            <w:r w:rsidR="003F2EC2">
                              <w:t xml:space="preserve">an </w:t>
                            </w:r>
                            <w:r>
                              <w:t>D</w:t>
                            </w:r>
                            <w:r w:rsidR="003F2EC2">
                              <w:t>iego</w:t>
                            </w:r>
                            <w:r>
                              <w:t xml:space="preserve"> County GHG Inventory</w:t>
                            </w:r>
                          </w:p>
                          <w:p w14:paraId="194569DF" w14:textId="663E62EA" w:rsidR="009977C2" w:rsidRDefault="009977C2" w:rsidP="00EA1766">
                            <w:r>
                              <w:t>Program Impact: E3 results</w:t>
                            </w:r>
                          </w:p>
                          <w:p w14:paraId="0F38F446" w14:textId="77777777" w:rsidR="00315FF6" w:rsidRDefault="00315FF6" w:rsidP="00EA17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E4750" id="Rectangle 12" o:spid="_x0000_s1028" style="position:absolute;margin-left:248.55pt;margin-top:4.15pt;width:257.3pt;height:24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" fillcolor="white [3201]" strokecolor="#4472c4 [3208]" strokeweight="1pt">
                <v:textbox>
                  <w:txbxContent>
                    <w:p w14:paraId="542A3506" w14:textId="1E9828A6" w:rsidR="00EA1766" w:rsidRDefault="004C0A34" w:rsidP="00EA1766">
                      <w:r>
                        <w:t>Forecasted Emissions Under Current Controls</w:t>
                      </w:r>
                      <w:r w:rsidR="00EA1766">
                        <w:t xml:space="preserve">: </w:t>
                      </w:r>
                      <w:r w:rsidR="00B37DE3">
                        <w:t>ARB Vision 2.1 and Vision 2.0 Models</w:t>
                      </w:r>
                    </w:p>
                    <w:p w14:paraId="641F57DF" w14:textId="31CEC1C2" w:rsidR="00315FF6" w:rsidRDefault="00B402BE" w:rsidP="00EA1766">
                      <w:r>
                        <w:t xml:space="preserve">Goals: </w:t>
                      </w:r>
                      <w:r w:rsidR="00B7115A">
                        <w:t xml:space="preserve">ARB 2014 Scoping Plan and </w:t>
                      </w:r>
                      <w:r>
                        <w:t>EPIC S</w:t>
                      </w:r>
                      <w:r w:rsidR="003F2EC2">
                        <w:t xml:space="preserve">an </w:t>
                      </w:r>
                      <w:r>
                        <w:t>D</w:t>
                      </w:r>
                      <w:r w:rsidR="003F2EC2">
                        <w:t>iego</w:t>
                      </w:r>
                      <w:r>
                        <w:t xml:space="preserve"> County GHG Inventory</w:t>
                      </w:r>
                    </w:p>
                    <w:p w14:paraId="194569DF" w14:textId="663E62EA" w:rsidR="009977C2" w:rsidRDefault="009977C2" w:rsidP="00EA1766">
                      <w:r>
                        <w:t>Program Impact: E3 results</w:t>
                      </w:r>
                    </w:p>
                    <w:p w14:paraId="0F38F446" w14:textId="77777777" w:rsidR="00315FF6" w:rsidRDefault="00315FF6" w:rsidP="00EA1766"/>
                  </w:txbxContent>
                </v:textbox>
              </v:rect>
            </w:pict>
          </mc:Fallback>
        </mc:AlternateContent>
      </w:r>
      <w:r w:rsidR="00095B4A">
        <w:t xml:space="preserve"> </w:t>
      </w:r>
      <w:r w:rsidR="00F6121F">
        <w:rPr>
          <w:noProof/>
        </w:rPr>
        <w:drawing>
          <wp:inline distT="0" distB="0" distL="0" distR="0" wp14:anchorId="6741B78B" wp14:editId="075C6BE5">
            <wp:extent cx="2974353" cy="32063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782" cy="3219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50189" w14:textId="2A166FBA" w:rsidR="00764FEB" w:rsidRDefault="008A60D9" w:rsidP="005A4113">
      <w:pPr>
        <w:ind w:firstLine="720"/>
      </w:pPr>
      <w:r>
        <w:t>Historical and forecasted emissions</w:t>
      </w:r>
      <w:r w:rsidR="004C0A34">
        <w:t xml:space="preserve"> under current control programs represent trends b</w:t>
      </w:r>
      <w:r>
        <w:t xml:space="preserve">ased on the ARB’s </w:t>
      </w:r>
      <w:r w:rsidR="009977C2">
        <w:t xml:space="preserve">most recent </w:t>
      </w:r>
      <w:r>
        <w:t>Vision models.</w:t>
      </w:r>
      <w:r w:rsidR="000C4931">
        <w:rPr>
          <w:rStyle w:val="FootnoteReference"/>
        </w:rPr>
        <w:footnoteReference w:id="2"/>
      </w:r>
      <w:r>
        <w:t xml:space="preserve"> </w:t>
      </w:r>
      <w:r w:rsidR="00E05585">
        <w:t>Sensitivities to program impact at 10x and 2</w:t>
      </w:r>
      <w:r w:rsidR="00562EF6">
        <w:t xml:space="preserve">0x the proposed size are used to demonstrate the need for decisive, aggressive action. </w:t>
      </w:r>
    </w:p>
    <w:p w14:paraId="1F466704" w14:textId="39C8FE2C" w:rsidR="00764FEB" w:rsidRDefault="00730962" w:rsidP="008722FA">
      <w:pPr>
        <w:pStyle w:val="Heading3"/>
        <w:ind w:firstLine="720"/>
      </w:pPr>
      <w:r>
        <w:t>Key Assumptions</w:t>
      </w:r>
    </w:p>
    <w:p w14:paraId="22EC6A62" w14:textId="7575F46B" w:rsidR="008E58AD" w:rsidRDefault="008E58AD" w:rsidP="00CB459A">
      <w:pPr>
        <w:pStyle w:val="ListParagraph"/>
        <w:numPr>
          <w:ilvl w:val="0"/>
          <w:numId w:val="1"/>
        </w:numPr>
      </w:pPr>
      <w:r>
        <w:t xml:space="preserve">Assumes that transportation emissions must fall </w:t>
      </w:r>
      <w:r w:rsidR="00E10757">
        <w:t xml:space="preserve">to </w:t>
      </w:r>
      <w:r>
        <w:t>40% and 80% below 1990 levels.</w:t>
      </w:r>
    </w:p>
    <w:p w14:paraId="6ABF5CB9" w14:textId="492E9F23" w:rsidR="006D2A75" w:rsidRDefault="008E58AD" w:rsidP="00CB459A">
      <w:pPr>
        <w:pStyle w:val="ListParagraph"/>
        <w:numPr>
          <w:ilvl w:val="0"/>
          <w:numId w:val="1"/>
        </w:numPr>
      </w:pPr>
      <w:r>
        <w:t>E</w:t>
      </w:r>
      <w:r w:rsidR="006D2A75">
        <w:t xml:space="preserve">missions reductions </w:t>
      </w:r>
      <w:r>
        <w:t xml:space="preserve">are tank to wheels </w:t>
      </w:r>
      <w:r w:rsidR="00946CD2">
        <w:t>CO</w:t>
      </w:r>
      <w:r w:rsidR="00946CD2">
        <w:softHyphen/>
      </w:r>
      <w:r w:rsidR="00946CD2">
        <w:rPr>
          <w:vertAlign w:val="subscript"/>
        </w:rPr>
        <w:t>2</w:t>
      </w:r>
      <w:r w:rsidR="00946CD2">
        <w:t xml:space="preserve"> </w:t>
      </w:r>
      <w:r>
        <w:t>estimates based on E3 results</w:t>
      </w:r>
      <w:r w:rsidR="006D2A75">
        <w:t>.</w:t>
      </w:r>
      <w:r w:rsidR="00946CD2">
        <w:t xml:space="preserve"> Assumes that all benefits from proposals are attributable to the program.  </w:t>
      </w:r>
    </w:p>
    <w:p w14:paraId="40516F32" w14:textId="59683879" w:rsidR="007D25E1" w:rsidRPr="008722FA" w:rsidRDefault="007D25E1" w:rsidP="0046139F">
      <w:pPr>
        <w:pStyle w:val="ListParagraph"/>
        <w:numPr>
          <w:ilvl w:val="0"/>
          <w:numId w:val="1"/>
        </w:numPr>
        <w:rPr>
          <w:b/>
        </w:rPr>
      </w:pPr>
      <w:r>
        <w:t>Sensitivity scenarios scale up program impact using a factor.  Any vehicles that are within the scope of a program b</w:t>
      </w:r>
      <w:r w:rsidR="0045235D">
        <w:t xml:space="preserve">ut are not included in the </w:t>
      </w:r>
      <w:r w:rsidR="00435C82">
        <w:t>benefit calculations</w:t>
      </w:r>
      <w:r w:rsidR="004405B0">
        <w:t xml:space="preserve"> are not captured.</w:t>
      </w:r>
      <w:r w:rsidR="00BA2709">
        <w:rPr>
          <w:rStyle w:val="FootnoteReference"/>
        </w:rPr>
        <w:footnoteReference w:id="3"/>
      </w:r>
      <w:r w:rsidR="004405B0">
        <w:t xml:space="preserve">  </w:t>
      </w:r>
      <w:r w:rsidR="00BA2709">
        <w:t xml:space="preserve"> </w:t>
      </w:r>
    </w:p>
    <w:p w14:paraId="04EF091E" w14:textId="5309DE57" w:rsidR="00E10757" w:rsidRPr="008722FA" w:rsidRDefault="00E10757" w:rsidP="008722FA">
      <w:pPr>
        <w:pStyle w:val="ListParagraph"/>
        <w:numPr>
          <w:ilvl w:val="0"/>
          <w:numId w:val="1"/>
        </w:numPr>
        <w:rPr>
          <w:b/>
        </w:rPr>
      </w:pPr>
      <w:r>
        <w:t>Historical and forecasted scenario N</w:t>
      </w:r>
      <w:r>
        <w:rPr>
          <w:vertAlign w:val="subscript"/>
        </w:rPr>
        <w:t>2</w:t>
      </w:r>
      <w:r>
        <w:t>O emission estimates are calculated internally using an ARB approximation.</w:t>
      </w:r>
    </w:p>
    <w:p w14:paraId="377076A6" w14:textId="19CB5B80" w:rsidR="00C81CCE" w:rsidRDefault="00C81CCE" w:rsidP="008722FA">
      <w:pPr>
        <w:pStyle w:val="Heading3"/>
        <w:ind w:firstLine="360"/>
      </w:pPr>
      <w:r>
        <w:lastRenderedPageBreak/>
        <w:t>Methodology for Estimates</w:t>
      </w:r>
    </w:p>
    <w:p w14:paraId="062B8BBF" w14:textId="215576B5" w:rsidR="008B33E4" w:rsidRDefault="00B7115A" w:rsidP="008B33E4">
      <w:r>
        <w:rPr>
          <w:b/>
        </w:rPr>
        <w:t>Historical and Forecasted Emissions Under Current Control Programs</w:t>
      </w:r>
      <w:r w:rsidR="008B33E4">
        <w:rPr>
          <w:b/>
        </w:rPr>
        <w:t xml:space="preserve"> </w:t>
      </w:r>
      <w:r w:rsidR="008B33E4">
        <w:t>– Th</w:t>
      </w:r>
      <w:r>
        <w:t>is</w:t>
      </w:r>
      <w:r w:rsidR="008B33E4">
        <w:t xml:space="preserve"> scenario aggregates results from three different ARB Vision models</w:t>
      </w:r>
      <w:r w:rsidR="004574BA">
        <w:t xml:space="preserve"> and adjusts</w:t>
      </w:r>
      <w:r w:rsidR="000C54B9">
        <w:t xml:space="preserve"> San Diego county</w:t>
      </w:r>
      <w:r w:rsidR="004574BA">
        <w:t xml:space="preserve"> emissions to represent the SDG&amp;E service territory</w:t>
      </w:r>
      <w:r w:rsidR="008B33E4">
        <w:t>.  The</w:t>
      </w:r>
      <w:r w:rsidR="00DB4E77">
        <w:t xml:space="preserve"> ARB’s</w:t>
      </w:r>
      <w:r w:rsidR="008B33E4">
        <w:t xml:space="preserve"> model for off-road equipment is still in development and San Diego region emissions have not been isolated from the rest of California.  </w:t>
      </w:r>
      <w:r w:rsidR="009210C3">
        <w:t>For this analysis, regional</w:t>
      </w:r>
      <w:r w:rsidR="008B33E4">
        <w:t xml:space="preserve"> </w:t>
      </w:r>
      <w:r w:rsidR="000C54B9">
        <w:t xml:space="preserve">off-road </w:t>
      </w:r>
      <w:r w:rsidR="008B33E4">
        <w:t xml:space="preserve">emissions were estimated using allocation factors from the ARB’s </w:t>
      </w:r>
      <w:r w:rsidR="005604D6">
        <w:t>In-</w:t>
      </w:r>
      <w:r w:rsidR="005604D6" w:rsidRPr="005604D6">
        <w:t>Use Off Road Emissions Inventory</w:t>
      </w:r>
      <w:r w:rsidR="004574BA">
        <w:t xml:space="preserve"> model.</w:t>
      </w:r>
    </w:p>
    <w:p w14:paraId="5BBF2F86" w14:textId="77777777" w:rsidR="00B7115A" w:rsidRDefault="00F34CCB" w:rsidP="008B33E4">
      <w:r>
        <w:rPr>
          <w:b/>
        </w:rPr>
        <w:t xml:space="preserve">On-Road/Off-Road GHG </w:t>
      </w:r>
      <w:r w:rsidR="0092754A">
        <w:rPr>
          <w:b/>
        </w:rPr>
        <w:t>Goals</w:t>
      </w:r>
      <w:r w:rsidR="0092754A">
        <w:t xml:space="preserve"> </w:t>
      </w:r>
      <w:r w:rsidR="002F6784">
        <w:t>–</w:t>
      </w:r>
      <w:r w:rsidR="0092754A">
        <w:t xml:space="preserve"> </w:t>
      </w:r>
    </w:p>
    <w:p w14:paraId="2C1BF721" w14:textId="77777777" w:rsidR="00B7115A" w:rsidRDefault="00B7115A" w:rsidP="008722FA">
      <w:pPr>
        <w:pStyle w:val="ListParagraph"/>
        <w:numPr>
          <w:ilvl w:val="0"/>
          <w:numId w:val="5"/>
        </w:numPr>
      </w:pPr>
      <w:r>
        <w:t>Find SDG&amp;E territory’s share of GHG emissions in 1990</w:t>
      </w:r>
    </w:p>
    <w:p w14:paraId="31DA19FC" w14:textId="7010063A" w:rsidR="00B7115A" w:rsidRDefault="00B7115A" w:rsidP="008722FA">
      <w:pPr>
        <w:pStyle w:val="ListParagraph"/>
        <w:numPr>
          <w:ilvl w:val="0"/>
          <w:numId w:val="5"/>
        </w:numPr>
      </w:pPr>
      <w:r>
        <w:t>Use EPIC data to find the amount of emissions from on-road and off-road transportation in 1990.</w:t>
      </w:r>
    </w:p>
    <w:p w14:paraId="31CBE02C" w14:textId="0ABA1095" w:rsidR="00370E26" w:rsidRDefault="00370E26" w:rsidP="008722FA">
      <w:pPr>
        <w:pStyle w:val="ListParagraph"/>
        <w:numPr>
          <w:ilvl w:val="0"/>
          <w:numId w:val="5"/>
        </w:numPr>
      </w:pPr>
      <w:r>
        <w:t>Apply statewide emissions goals to 1990 On-Road and Off-Road GHG levels.</w:t>
      </w:r>
    </w:p>
    <w:tbl>
      <w:tblPr>
        <w:tblStyle w:val="GridTable1Light"/>
        <w:tblW w:w="9456" w:type="dxa"/>
        <w:tblLook w:val="04A0" w:firstRow="1" w:lastRow="0" w:firstColumn="1" w:lastColumn="0" w:noHBand="0" w:noVBand="1"/>
      </w:tblPr>
      <w:tblGrid>
        <w:gridCol w:w="592"/>
        <w:gridCol w:w="6048"/>
        <w:gridCol w:w="222"/>
        <w:gridCol w:w="1185"/>
        <w:gridCol w:w="1717"/>
      </w:tblGrid>
      <w:tr w:rsidR="00370E26" w:rsidRPr="00370E26" w14:paraId="79CEF717" w14:textId="77777777" w:rsidTr="00370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5"/>
            <w:noWrap/>
            <w:hideMark/>
          </w:tcPr>
          <w:p w14:paraId="1FAE390A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SDG&amp;E Service Territory On-Road and Off-Road Emissions Calculation</w:t>
            </w:r>
          </w:p>
        </w:tc>
      </w:tr>
      <w:tr w:rsidR="00370E26" w:rsidRPr="00370E26" w14:paraId="49A2409C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13EA31FB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48" w:type="dxa"/>
            <w:noWrap/>
            <w:hideMark/>
          </w:tcPr>
          <w:p w14:paraId="1A8C3125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" w:type="dxa"/>
            <w:noWrap/>
            <w:hideMark/>
          </w:tcPr>
          <w:p w14:paraId="0F460C72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0D582724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09E24CA0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7F0D95F3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70957A22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Line</w:t>
            </w:r>
          </w:p>
        </w:tc>
        <w:tc>
          <w:tcPr>
            <w:tcW w:w="6048" w:type="dxa"/>
            <w:noWrap/>
            <w:hideMark/>
          </w:tcPr>
          <w:p w14:paraId="317B65E9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6601635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hideMark/>
          </w:tcPr>
          <w:p w14:paraId="5E4D4704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55AA3DB1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Source</w:t>
            </w:r>
          </w:p>
        </w:tc>
      </w:tr>
      <w:tr w:rsidR="00370E26" w:rsidRPr="00370E26" w14:paraId="40C3DE8B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473E85A3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048" w:type="dxa"/>
            <w:noWrap/>
            <w:hideMark/>
          </w:tcPr>
          <w:p w14:paraId="4499898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CA 1990 Goal</w:t>
            </w:r>
          </w:p>
        </w:tc>
        <w:tc>
          <w:tcPr>
            <w:tcW w:w="8" w:type="dxa"/>
            <w:noWrap/>
            <w:hideMark/>
          </w:tcPr>
          <w:p w14:paraId="513D7BD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3EC50714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431</w:t>
            </w:r>
          </w:p>
        </w:tc>
        <w:tc>
          <w:tcPr>
            <w:tcW w:w="1717" w:type="dxa"/>
            <w:noWrap/>
            <w:hideMark/>
          </w:tcPr>
          <w:p w14:paraId="27AD5C8A" w14:textId="77777777" w:rsidR="00370E26" w:rsidRPr="00370E26" w:rsidRDefault="00B70DF0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3" w:history="1">
              <w:r w:rsidR="00370E26" w:rsidRPr="00370E26">
                <w:rPr>
                  <w:rFonts w:ascii="Calibri" w:eastAsia="Times New Roman" w:hAnsi="Calibri" w:cs="Times New Roman"/>
                  <w:color w:val="0563C1"/>
                  <w:u w:val="single"/>
                </w:rPr>
                <w:t>California ARB</w:t>
              </w:r>
            </w:hyperlink>
          </w:p>
        </w:tc>
      </w:tr>
      <w:tr w:rsidR="00370E26" w:rsidRPr="00370E26" w14:paraId="605E7F63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353D4E1E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048" w:type="dxa"/>
            <w:noWrap/>
            <w:hideMark/>
          </w:tcPr>
          <w:p w14:paraId="0BEAA3A7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4394ED7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43671073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63EEEF48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354DC865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2449D7D3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048" w:type="dxa"/>
            <w:hideMark/>
          </w:tcPr>
          <w:p w14:paraId="3FE991D8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 xml:space="preserve">EPIC % On-Road &amp; Off-Road of Total </w:t>
            </w:r>
            <w:proofErr w:type="gramStart"/>
            <w:r w:rsidRPr="00370E26">
              <w:rPr>
                <w:rFonts w:ascii="Calibri" w:eastAsia="Times New Roman" w:hAnsi="Calibri" w:cs="Times New Roman"/>
                <w:color w:val="000000"/>
              </w:rPr>
              <w:t>Emissions  in</w:t>
            </w:r>
            <w:proofErr w:type="gramEnd"/>
            <w:r w:rsidRPr="00370E26">
              <w:rPr>
                <w:rFonts w:ascii="Calibri" w:eastAsia="Times New Roman" w:hAnsi="Calibri" w:cs="Times New Roman"/>
                <w:color w:val="000000"/>
              </w:rPr>
              <w:t xml:space="preserve"> 1990</w:t>
            </w:r>
          </w:p>
        </w:tc>
        <w:tc>
          <w:tcPr>
            <w:tcW w:w="8" w:type="dxa"/>
            <w:noWrap/>
            <w:hideMark/>
          </w:tcPr>
          <w:p w14:paraId="7E8CDD4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7D124735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53%</w:t>
            </w:r>
          </w:p>
        </w:tc>
        <w:tc>
          <w:tcPr>
            <w:tcW w:w="1717" w:type="dxa"/>
            <w:noWrap/>
            <w:hideMark/>
          </w:tcPr>
          <w:p w14:paraId="4142A8AD" w14:textId="77777777" w:rsidR="00370E26" w:rsidRPr="00370E26" w:rsidRDefault="00B70DF0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4" w:history="1">
              <w:r w:rsidR="00370E26" w:rsidRPr="00370E26">
                <w:rPr>
                  <w:rFonts w:ascii="Calibri" w:eastAsia="Times New Roman" w:hAnsi="Calibri" w:cs="Times New Roman"/>
                  <w:color w:val="0563C1"/>
                  <w:u w:val="single"/>
                </w:rPr>
                <w:t>EPIC (pg. 10)</w:t>
              </w:r>
            </w:hyperlink>
          </w:p>
        </w:tc>
      </w:tr>
      <w:tr w:rsidR="00370E26" w:rsidRPr="00370E26" w14:paraId="56FC2A9C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040D927A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048" w:type="dxa"/>
            <w:noWrap/>
            <w:hideMark/>
          </w:tcPr>
          <w:p w14:paraId="17B90640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30317402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743C3163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443F99CD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5E84E5DA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22FB740C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048" w:type="dxa"/>
            <w:noWrap/>
            <w:hideMark/>
          </w:tcPr>
          <w:p w14:paraId="239FADE1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% of Service Territory Share Load</w:t>
            </w:r>
          </w:p>
        </w:tc>
        <w:tc>
          <w:tcPr>
            <w:tcW w:w="8" w:type="dxa"/>
            <w:noWrap/>
            <w:hideMark/>
          </w:tcPr>
          <w:p w14:paraId="3FDE4916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4DA69B3F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9.4%</w:t>
            </w:r>
          </w:p>
        </w:tc>
        <w:tc>
          <w:tcPr>
            <w:tcW w:w="1717" w:type="dxa"/>
            <w:noWrap/>
            <w:hideMark/>
          </w:tcPr>
          <w:p w14:paraId="0B9E99F4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70E26">
              <w:rPr>
                <w:rFonts w:ascii="Calibri" w:eastAsia="Times New Roman" w:hAnsi="Calibri" w:cs="Times New Roman"/>
                <w:color w:val="000000"/>
              </w:rPr>
              <w:t>CalETC</w:t>
            </w:r>
            <w:proofErr w:type="spellEnd"/>
          </w:p>
        </w:tc>
      </w:tr>
      <w:tr w:rsidR="00370E26" w:rsidRPr="00370E26" w14:paraId="241F0A37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2B72CF96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048" w:type="dxa"/>
            <w:noWrap/>
            <w:hideMark/>
          </w:tcPr>
          <w:p w14:paraId="6E927CD7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04CC2BA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27B3A712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321D2B9E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2B527A4F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55D7B433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048" w:type="dxa"/>
            <w:noWrap/>
            <w:hideMark/>
          </w:tcPr>
          <w:p w14:paraId="4F28E8A9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1990 Service Territory Emissions</w:t>
            </w:r>
          </w:p>
        </w:tc>
        <w:tc>
          <w:tcPr>
            <w:tcW w:w="8" w:type="dxa"/>
            <w:noWrap/>
            <w:hideMark/>
          </w:tcPr>
          <w:p w14:paraId="6F7276F4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154A6D7F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6357688B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65003ED4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162AEC10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048" w:type="dxa"/>
            <w:noWrap/>
            <w:hideMark/>
          </w:tcPr>
          <w:p w14:paraId="07AEE09B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(Line 1 x Line 5)</w:t>
            </w:r>
          </w:p>
        </w:tc>
        <w:tc>
          <w:tcPr>
            <w:tcW w:w="8" w:type="dxa"/>
            <w:noWrap/>
            <w:hideMark/>
          </w:tcPr>
          <w:p w14:paraId="5AEB5606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11501B78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40.6</w:t>
            </w:r>
          </w:p>
        </w:tc>
        <w:tc>
          <w:tcPr>
            <w:tcW w:w="1717" w:type="dxa"/>
            <w:noWrap/>
            <w:hideMark/>
          </w:tcPr>
          <w:p w14:paraId="493A84AA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70E26" w:rsidRPr="00370E26" w14:paraId="2107841E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55773962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048" w:type="dxa"/>
            <w:noWrap/>
            <w:hideMark/>
          </w:tcPr>
          <w:p w14:paraId="59E153CB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345881DE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427AE370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7F740598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74D3AAD3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38643BF4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048" w:type="dxa"/>
            <w:noWrap/>
            <w:hideMark/>
          </w:tcPr>
          <w:p w14:paraId="785CDD4C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1990 On-Road and Off-Road GHG Levels</w:t>
            </w:r>
          </w:p>
        </w:tc>
        <w:tc>
          <w:tcPr>
            <w:tcW w:w="8" w:type="dxa"/>
            <w:noWrap/>
            <w:hideMark/>
          </w:tcPr>
          <w:p w14:paraId="1DA2AEC3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051735F3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667D6D36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6355DF56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774D444E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6048" w:type="dxa"/>
            <w:noWrap/>
            <w:hideMark/>
          </w:tcPr>
          <w:p w14:paraId="6A4254A7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(Line 3 x Line 8)</w:t>
            </w:r>
          </w:p>
        </w:tc>
        <w:tc>
          <w:tcPr>
            <w:tcW w:w="8" w:type="dxa"/>
            <w:noWrap/>
            <w:hideMark/>
          </w:tcPr>
          <w:p w14:paraId="0DB66F4D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2AD88E47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21.4</w:t>
            </w:r>
          </w:p>
        </w:tc>
        <w:tc>
          <w:tcPr>
            <w:tcW w:w="1717" w:type="dxa"/>
            <w:noWrap/>
            <w:hideMark/>
          </w:tcPr>
          <w:p w14:paraId="50D70133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70E26" w:rsidRPr="00370E26" w14:paraId="032C3D05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7065CFF7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6048" w:type="dxa"/>
            <w:noWrap/>
            <w:hideMark/>
          </w:tcPr>
          <w:p w14:paraId="0CE81BE3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3F828F5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0EC18EBE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328DC0DA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7FC4D3B7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532DA9C7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6048" w:type="dxa"/>
            <w:noWrap/>
            <w:hideMark/>
          </w:tcPr>
          <w:p w14:paraId="19D723A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2020 Goal</w:t>
            </w:r>
          </w:p>
        </w:tc>
        <w:tc>
          <w:tcPr>
            <w:tcW w:w="8" w:type="dxa"/>
            <w:noWrap/>
            <w:hideMark/>
          </w:tcPr>
          <w:p w14:paraId="6D7F2E1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4317BDDC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00DB7FDC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36DFC15E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3CFB078C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6048" w:type="dxa"/>
            <w:noWrap/>
            <w:hideMark/>
          </w:tcPr>
          <w:p w14:paraId="055D52D1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(Line 11)</w:t>
            </w:r>
          </w:p>
        </w:tc>
        <w:tc>
          <w:tcPr>
            <w:tcW w:w="8" w:type="dxa"/>
            <w:noWrap/>
            <w:hideMark/>
          </w:tcPr>
          <w:p w14:paraId="683EBDF1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4A09B239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21.4</w:t>
            </w:r>
          </w:p>
        </w:tc>
        <w:tc>
          <w:tcPr>
            <w:tcW w:w="1717" w:type="dxa"/>
            <w:noWrap/>
            <w:hideMark/>
          </w:tcPr>
          <w:p w14:paraId="71070F38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70E26" w:rsidRPr="00370E26" w14:paraId="6AF4EA1A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410A0DE3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6048" w:type="dxa"/>
            <w:noWrap/>
            <w:hideMark/>
          </w:tcPr>
          <w:p w14:paraId="39C39608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1F5F7F3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2D9FE6FA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6A6CCCAD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3B035218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50C5DECE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6048" w:type="dxa"/>
            <w:noWrap/>
            <w:hideMark/>
          </w:tcPr>
          <w:p w14:paraId="52016C50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2030 Goal</w:t>
            </w:r>
          </w:p>
        </w:tc>
        <w:tc>
          <w:tcPr>
            <w:tcW w:w="8" w:type="dxa"/>
            <w:noWrap/>
            <w:hideMark/>
          </w:tcPr>
          <w:p w14:paraId="1BA50CFC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25EFE3CF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7F0341E1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54B0E0D1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09713837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6048" w:type="dxa"/>
            <w:noWrap/>
            <w:hideMark/>
          </w:tcPr>
          <w:p w14:paraId="5786531F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(Line 11 x 60%)</w:t>
            </w:r>
          </w:p>
        </w:tc>
        <w:tc>
          <w:tcPr>
            <w:tcW w:w="8" w:type="dxa"/>
            <w:noWrap/>
            <w:hideMark/>
          </w:tcPr>
          <w:p w14:paraId="572FAE7E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5B45F6A2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12.9</w:t>
            </w:r>
          </w:p>
        </w:tc>
        <w:tc>
          <w:tcPr>
            <w:tcW w:w="1717" w:type="dxa"/>
            <w:noWrap/>
            <w:hideMark/>
          </w:tcPr>
          <w:p w14:paraId="26137D0B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70E26" w:rsidRPr="00370E26" w14:paraId="3BC9549E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20AD9941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6048" w:type="dxa"/>
            <w:noWrap/>
            <w:hideMark/>
          </w:tcPr>
          <w:p w14:paraId="3EDD1899" w14:textId="77777777" w:rsidR="00370E26" w:rsidRPr="00370E26" w:rsidRDefault="00370E26" w:rsidP="00370E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" w:type="dxa"/>
            <w:noWrap/>
            <w:hideMark/>
          </w:tcPr>
          <w:p w14:paraId="4305721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noWrap/>
            <w:hideMark/>
          </w:tcPr>
          <w:p w14:paraId="42F67AED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04D6B423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53457FC9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35C00A30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6048" w:type="dxa"/>
            <w:noWrap/>
            <w:hideMark/>
          </w:tcPr>
          <w:p w14:paraId="2353B6A5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2050 Goal</w:t>
            </w:r>
          </w:p>
        </w:tc>
        <w:tc>
          <w:tcPr>
            <w:tcW w:w="8" w:type="dxa"/>
            <w:noWrap/>
            <w:hideMark/>
          </w:tcPr>
          <w:p w14:paraId="5D929E4C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5CCFB8F4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noWrap/>
            <w:hideMark/>
          </w:tcPr>
          <w:p w14:paraId="27F73F56" w14:textId="77777777" w:rsidR="00370E26" w:rsidRPr="00370E26" w:rsidRDefault="00370E26" w:rsidP="00370E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0E26" w:rsidRPr="00370E26" w14:paraId="0EAA37CE" w14:textId="77777777" w:rsidTr="00370E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" w:type="dxa"/>
            <w:noWrap/>
            <w:hideMark/>
          </w:tcPr>
          <w:p w14:paraId="2C442F0B" w14:textId="77777777" w:rsidR="00370E26" w:rsidRPr="00370E26" w:rsidRDefault="00370E26" w:rsidP="00370E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6048" w:type="dxa"/>
            <w:noWrap/>
            <w:hideMark/>
          </w:tcPr>
          <w:p w14:paraId="4ECD777C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(Line 11 x 20%)</w:t>
            </w:r>
          </w:p>
        </w:tc>
        <w:tc>
          <w:tcPr>
            <w:tcW w:w="8" w:type="dxa"/>
            <w:noWrap/>
            <w:hideMark/>
          </w:tcPr>
          <w:p w14:paraId="3B6DBC9E" w14:textId="77777777" w:rsidR="00370E26" w:rsidRPr="00370E26" w:rsidRDefault="00370E26" w:rsidP="00370E26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5" w:type="dxa"/>
            <w:noWrap/>
            <w:hideMark/>
          </w:tcPr>
          <w:p w14:paraId="7BE9DACD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370E26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  <w:tc>
          <w:tcPr>
            <w:tcW w:w="1717" w:type="dxa"/>
            <w:noWrap/>
            <w:hideMark/>
          </w:tcPr>
          <w:p w14:paraId="557BEFC5" w14:textId="77777777" w:rsidR="00370E26" w:rsidRPr="00370E26" w:rsidRDefault="00370E26" w:rsidP="00370E2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51E10F4" w14:textId="77777777" w:rsidR="00B7115A" w:rsidRDefault="00B7115A" w:rsidP="008B33E4"/>
    <w:p w14:paraId="63252344" w14:textId="77BFBA69" w:rsidR="005F79B6" w:rsidRDefault="005F79B6" w:rsidP="008B33E4">
      <w:r>
        <w:rPr>
          <w:b/>
        </w:rPr>
        <w:t xml:space="preserve">Proposed Program Impact </w:t>
      </w:r>
      <w:r w:rsidR="003F58DB">
        <w:t>–</w:t>
      </w:r>
      <w:r>
        <w:t xml:space="preserve"> </w:t>
      </w:r>
      <w:r w:rsidR="00B70DF0">
        <w:t xml:space="preserve">This scenario calibrates </w:t>
      </w:r>
      <w:r w:rsidR="003F58DB">
        <w:t>E3</w:t>
      </w:r>
      <w:r w:rsidR="00631170">
        <w:t xml:space="preserve"> results</w:t>
      </w:r>
      <w:r w:rsidR="00B70DF0">
        <w:t xml:space="preserve"> by making assumptions about vehicle replacements from 2028 – 2050 in order to provide an illustrative view of program impact out to 2050.</w:t>
      </w:r>
    </w:p>
    <w:p w14:paraId="4AA89488" w14:textId="5B55B710" w:rsidR="005A4113" w:rsidRDefault="00631170" w:rsidP="004616D1">
      <w:r>
        <w:rPr>
          <w:b/>
        </w:rPr>
        <w:t>Sensitivity Scenarios</w:t>
      </w:r>
      <w:r>
        <w:t xml:space="preserve"> </w:t>
      </w:r>
      <w:r w:rsidR="004616D1">
        <w:t>–</w:t>
      </w:r>
      <w:r>
        <w:t xml:space="preserve"> </w:t>
      </w:r>
      <w:r w:rsidR="004616D1">
        <w:t>Applies a factor to proposed progr</w:t>
      </w:r>
      <w:r w:rsidR="00B70DF0">
        <w:t>am impact results (see above)</w:t>
      </w:r>
      <w:r w:rsidR="004616D1">
        <w:t xml:space="preserve">.  </w:t>
      </w:r>
      <w:r w:rsidR="005A4113">
        <w:t>Programs c</w:t>
      </w:r>
      <w:r w:rsidR="004616D1">
        <w:t>annot be scaled beyond</w:t>
      </w:r>
      <w:r w:rsidR="005A4113">
        <w:t xml:space="preserve"> their known population.  </w:t>
      </w:r>
      <w:r w:rsidR="00DB4E77">
        <w:t>All proposals are scal</w:t>
      </w:r>
      <w:bookmarkStart w:id="0" w:name="_GoBack"/>
      <w:bookmarkEnd w:id="0"/>
      <w:r w:rsidR="00DB4E77">
        <w:t xml:space="preserve">ed in the sensitivity scenarios </w:t>
      </w:r>
      <w:r w:rsidR="00DB4E77">
        <w:lastRenderedPageBreak/>
        <w:t xml:space="preserve">except for the Airport GSE pilot. </w:t>
      </w:r>
      <w:r w:rsidR="005A4113">
        <w:t xml:space="preserve"> </w:t>
      </w:r>
      <w:r w:rsidR="00C66B1E">
        <w:t xml:space="preserve">The </w:t>
      </w:r>
      <w:r w:rsidR="005A4113">
        <w:t>San Diego airport does not have enough diesel/gasoline powered GSE to support a program 10x larger than proposed</w:t>
      </w:r>
      <w:r w:rsidR="00C66B1E">
        <w:t>.  Additional locations must be considered in order to support a substantially larger program</w:t>
      </w:r>
      <w:r w:rsidR="005A4113">
        <w:t xml:space="preserve">.  </w:t>
      </w:r>
    </w:p>
    <w:p w14:paraId="732AB859" w14:textId="77777777" w:rsidR="00C81CCE" w:rsidRPr="00C81CCE" w:rsidRDefault="00C81CCE" w:rsidP="00C81CCE">
      <w:pPr>
        <w:ind w:left="360"/>
        <w:rPr>
          <w:b/>
        </w:rPr>
      </w:pPr>
    </w:p>
    <w:sectPr w:rsidR="00C81CCE" w:rsidRPr="00C8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62AAC" w14:textId="77777777" w:rsidR="00690B67" w:rsidRDefault="00690B67" w:rsidP="008A60D9">
      <w:pPr>
        <w:spacing w:after="0" w:line="240" w:lineRule="auto"/>
      </w:pPr>
      <w:r>
        <w:separator/>
      </w:r>
    </w:p>
  </w:endnote>
  <w:endnote w:type="continuationSeparator" w:id="0">
    <w:p w14:paraId="35CFBC0B" w14:textId="77777777" w:rsidR="00690B67" w:rsidRDefault="00690B67" w:rsidP="008A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621FA" w14:textId="77777777" w:rsidR="00690B67" w:rsidRDefault="00690B67" w:rsidP="008A60D9">
      <w:pPr>
        <w:spacing w:after="0" w:line="240" w:lineRule="auto"/>
      </w:pPr>
      <w:r>
        <w:separator/>
      </w:r>
    </w:p>
  </w:footnote>
  <w:footnote w:type="continuationSeparator" w:id="0">
    <w:p w14:paraId="7879ADFD" w14:textId="77777777" w:rsidR="00690B67" w:rsidRDefault="00690B67" w:rsidP="008A60D9">
      <w:pPr>
        <w:spacing w:after="0" w:line="240" w:lineRule="auto"/>
      </w:pPr>
      <w:r>
        <w:continuationSeparator/>
      </w:r>
    </w:p>
  </w:footnote>
  <w:footnote w:id="1">
    <w:p w14:paraId="67B59B6D" w14:textId="55F23C2B" w:rsidR="00365EBC" w:rsidRDefault="00365EBC">
      <w:pPr>
        <w:pStyle w:val="FootnoteText"/>
      </w:pPr>
      <w:r>
        <w:rPr>
          <w:rStyle w:val="FootnoteReference"/>
        </w:rPr>
        <w:footnoteRef/>
      </w:r>
      <w:r>
        <w:t xml:space="preserve"> This is based on a customer population comparison performed by </w:t>
      </w:r>
      <w:proofErr w:type="spellStart"/>
      <w:r>
        <w:t>CalETC</w:t>
      </w:r>
      <w:proofErr w:type="spellEnd"/>
      <w:r>
        <w:t xml:space="preserve"> for the California Transportation Electrification Assessment (Cal TEA).</w:t>
      </w:r>
    </w:p>
  </w:footnote>
  <w:footnote w:id="2">
    <w:p w14:paraId="4B2B424C" w14:textId="3C33312C" w:rsidR="000C4931" w:rsidRDefault="000C4931">
      <w:pPr>
        <w:pStyle w:val="FootnoteText"/>
      </w:pPr>
      <w:r>
        <w:rPr>
          <w:rStyle w:val="FootnoteReference"/>
        </w:rPr>
        <w:footnoteRef/>
      </w:r>
      <w:r w:rsidR="00A26FEE">
        <w:t xml:space="preserve"> </w:t>
      </w:r>
      <w:r w:rsidR="009977C2">
        <w:t>Current control program examples include</w:t>
      </w:r>
      <w:r w:rsidR="00A26FEE">
        <w:t xml:space="preserve"> Advanced Clean C</w:t>
      </w:r>
      <w:r w:rsidR="009977C2">
        <w:t>ars and the</w:t>
      </w:r>
      <w:r>
        <w:t xml:space="preserve"> </w:t>
      </w:r>
      <w:r w:rsidR="00A26FEE">
        <w:t>Low Carbon Fuel Standard</w:t>
      </w:r>
    </w:p>
  </w:footnote>
  <w:footnote w:id="3">
    <w:p w14:paraId="4D32F93C" w14:textId="54931927" w:rsidR="00BA2709" w:rsidRDefault="00BA2709">
      <w:pPr>
        <w:pStyle w:val="FootnoteText"/>
      </w:pPr>
      <w:r>
        <w:rPr>
          <w:rStyle w:val="FootnoteReference"/>
        </w:rPr>
        <w:footnoteRef/>
      </w:r>
      <w:r>
        <w:t xml:space="preserve"> For example, forklifts and yard tractors are both within the scope of the MD/HD port electrification project, but because only</w:t>
      </w:r>
      <w:r w:rsidR="00946CD2">
        <w:t xml:space="preserve"> benefits from</w:t>
      </w:r>
      <w:r>
        <w:t xml:space="preserve"> forklifts </w:t>
      </w:r>
      <w:r w:rsidR="00946CD2">
        <w:t xml:space="preserve">are estimated </w:t>
      </w:r>
      <w:r>
        <w:t>in the proposal</w:t>
      </w:r>
      <w:r w:rsidR="00946CD2">
        <w:t>,</w:t>
      </w:r>
      <w:r w:rsidR="00A42CDF">
        <w:t xml:space="preserve"> only forklift benefits are considered in the sensitivity scenarios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E6A6F"/>
    <w:multiLevelType w:val="hybridMultilevel"/>
    <w:tmpl w:val="FB801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77C5B"/>
    <w:multiLevelType w:val="hybridMultilevel"/>
    <w:tmpl w:val="02C0F6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D7591"/>
    <w:multiLevelType w:val="hybridMultilevel"/>
    <w:tmpl w:val="661CA6D6"/>
    <w:lvl w:ilvl="0" w:tplc="D8ACDF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C757D"/>
    <w:multiLevelType w:val="hybridMultilevel"/>
    <w:tmpl w:val="0B74E62E"/>
    <w:lvl w:ilvl="0" w:tplc="2A44E6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72E63"/>
    <w:multiLevelType w:val="hybridMultilevel"/>
    <w:tmpl w:val="2FEE3660"/>
    <w:lvl w:ilvl="0" w:tplc="ACC46C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820"/>
    <w:rsid w:val="000038F8"/>
    <w:rsid w:val="000054D9"/>
    <w:rsid w:val="00042E45"/>
    <w:rsid w:val="000618C2"/>
    <w:rsid w:val="00075CA8"/>
    <w:rsid w:val="00095B4A"/>
    <w:rsid w:val="000A5C90"/>
    <w:rsid w:val="000C4931"/>
    <w:rsid w:val="000C54B9"/>
    <w:rsid w:val="000D61D7"/>
    <w:rsid w:val="000F308E"/>
    <w:rsid w:val="00103FDA"/>
    <w:rsid w:val="00105173"/>
    <w:rsid w:val="001340FB"/>
    <w:rsid w:val="001C4042"/>
    <w:rsid w:val="001D5353"/>
    <w:rsid w:val="00220CCA"/>
    <w:rsid w:val="002315DC"/>
    <w:rsid w:val="00275C45"/>
    <w:rsid w:val="002D0426"/>
    <w:rsid w:val="002F6784"/>
    <w:rsid w:val="00315FF6"/>
    <w:rsid w:val="00365EBC"/>
    <w:rsid w:val="00370E26"/>
    <w:rsid w:val="00391E83"/>
    <w:rsid w:val="003F2EC2"/>
    <w:rsid w:val="003F58DB"/>
    <w:rsid w:val="00435C82"/>
    <w:rsid w:val="004405B0"/>
    <w:rsid w:val="00447F73"/>
    <w:rsid w:val="0045235D"/>
    <w:rsid w:val="004535C4"/>
    <w:rsid w:val="004574BA"/>
    <w:rsid w:val="0046139F"/>
    <w:rsid w:val="004616D1"/>
    <w:rsid w:val="00485E5D"/>
    <w:rsid w:val="0049013F"/>
    <w:rsid w:val="004B2709"/>
    <w:rsid w:val="004C0A34"/>
    <w:rsid w:val="004E048F"/>
    <w:rsid w:val="00527CB0"/>
    <w:rsid w:val="005604D6"/>
    <w:rsid w:val="00562EF6"/>
    <w:rsid w:val="00583856"/>
    <w:rsid w:val="00584232"/>
    <w:rsid w:val="005A08DB"/>
    <w:rsid w:val="005A4113"/>
    <w:rsid w:val="005F79B6"/>
    <w:rsid w:val="00600CC7"/>
    <w:rsid w:val="0060555F"/>
    <w:rsid w:val="00631170"/>
    <w:rsid w:val="006311C1"/>
    <w:rsid w:val="00632FBD"/>
    <w:rsid w:val="006500AA"/>
    <w:rsid w:val="00655DC6"/>
    <w:rsid w:val="00682D16"/>
    <w:rsid w:val="00690B67"/>
    <w:rsid w:val="006C3708"/>
    <w:rsid w:val="006C6350"/>
    <w:rsid w:val="006D0C73"/>
    <w:rsid w:val="006D2A75"/>
    <w:rsid w:val="006F74AC"/>
    <w:rsid w:val="00705416"/>
    <w:rsid w:val="00730962"/>
    <w:rsid w:val="00764FEB"/>
    <w:rsid w:val="0078650B"/>
    <w:rsid w:val="007D1D99"/>
    <w:rsid w:val="007D25E1"/>
    <w:rsid w:val="007D2604"/>
    <w:rsid w:val="00845638"/>
    <w:rsid w:val="0085644F"/>
    <w:rsid w:val="00861BD0"/>
    <w:rsid w:val="008722FA"/>
    <w:rsid w:val="00876A7D"/>
    <w:rsid w:val="008802BB"/>
    <w:rsid w:val="008A60D9"/>
    <w:rsid w:val="008B33E4"/>
    <w:rsid w:val="008E58AD"/>
    <w:rsid w:val="009210C3"/>
    <w:rsid w:val="0092754A"/>
    <w:rsid w:val="00946CD2"/>
    <w:rsid w:val="009977C2"/>
    <w:rsid w:val="009C4875"/>
    <w:rsid w:val="009C6AD8"/>
    <w:rsid w:val="00A01E9A"/>
    <w:rsid w:val="00A26FEE"/>
    <w:rsid w:val="00A42CDF"/>
    <w:rsid w:val="00A54820"/>
    <w:rsid w:val="00AD4C5A"/>
    <w:rsid w:val="00AF79BC"/>
    <w:rsid w:val="00B37DE3"/>
    <w:rsid w:val="00B402BE"/>
    <w:rsid w:val="00B47DA4"/>
    <w:rsid w:val="00B70DF0"/>
    <w:rsid w:val="00B7115A"/>
    <w:rsid w:val="00B7738E"/>
    <w:rsid w:val="00B843B5"/>
    <w:rsid w:val="00BA2709"/>
    <w:rsid w:val="00C032C0"/>
    <w:rsid w:val="00C10163"/>
    <w:rsid w:val="00C26BB6"/>
    <w:rsid w:val="00C56AB0"/>
    <w:rsid w:val="00C66B1E"/>
    <w:rsid w:val="00C71FBE"/>
    <w:rsid w:val="00C81CCE"/>
    <w:rsid w:val="00C85966"/>
    <w:rsid w:val="00C9571F"/>
    <w:rsid w:val="00C95BED"/>
    <w:rsid w:val="00CB2C82"/>
    <w:rsid w:val="00CB459A"/>
    <w:rsid w:val="00CD160E"/>
    <w:rsid w:val="00CE4EC9"/>
    <w:rsid w:val="00D225C2"/>
    <w:rsid w:val="00D65326"/>
    <w:rsid w:val="00D83C49"/>
    <w:rsid w:val="00D8578F"/>
    <w:rsid w:val="00D87C92"/>
    <w:rsid w:val="00DB4E77"/>
    <w:rsid w:val="00DE030D"/>
    <w:rsid w:val="00DE37E9"/>
    <w:rsid w:val="00DE580A"/>
    <w:rsid w:val="00DF59CB"/>
    <w:rsid w:val="00E05585"/>
    <w:rsid w:val="00E10757"/>
    <w:rsid w:val="00E110C0"/>
    <w:rsid w:val="00E24F93"/>
    <w:rsid w:val="00E26A4C"/>
    <w:rsid w:val="00E87875"/>
    <w:rsid w:val="00E903B6"/>
    <w:rsid w:val="00E96EEA"/>
    <w:rsid w:val="00EA1766"/>
    <w:rsid w:val="00EF12FD"/>
    <w:rsid w:val="00F052C2"/>
    <w:rsid w:val="00F140B7"/>
    <w:rsid w:val="00F27596"/>
    <w:rsid w:val="00F31333"/>
    <w:rsid w:val="00F34CCB"/>
    <w:rsid w:val="00F41402"/>
    <w:rsid w:val="00F42103"/>
    <w:rsid w:val="00F6121F"/>
    <w:rsid w:val="00F642C7"/>
    <w:rsid w:val="00FA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E2AC1"/>
  <w15:chartTrackingRefBased/>
  <w15:docId w15:val="{B968B453-4643-4245-85C1-5D724D69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8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57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00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548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548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D160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60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60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60D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957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00A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15D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CD2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370E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rb.ca.gov/cc/inventory/1990level/1990level.ht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catcher.sandiego.edu/items/usdlaw/EPIC-GHG-2013.pdf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https://sps.sdge.com/so/ci/Project%202.0/Shared%20Documents/SB%20350%20Work%20Documents/Policy%20Work%20Docs/GHG%20Projection%20and%20Vehicle%20Assumptions%20UPDATE%2012-20-16%20BE%20Full%20Scal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Illustrative: California and San Diego Regional Green House Gas Reduction Goals</a:t>
            </a:r>
          </a:p>
          <a:p>
            <a:pPr>
              <a:defRPr/>
            </a:pPr>
            <a:r>
              <a:rPr lang="en-US"/>
              <a:t>(SB 350 Targets)</a:t>
            </a:r>
          </a:p>
        </c:rich>
      </c:tx>
      <c:layout>
        <c:manualLayout>
          <c:xMode val="edge"/>
          <c:yMode val="edge"/>
          <c:x val="0.13618497207079885"/>
          <c:y val="1.7712889579946371E-2"/>
        </c:manualLayout>
      </c:layout>
      <c:overlay val="0"/>
      <c:spPr>
        <a:noFill/>
      </c:spPr>
    </c:title>
    <c:autoTitleDeleted val="0"/>
    <c:plotArea>
      <c:layout>
        <c:manualLayout>
          <c:layoutTarget val="inner"/>
          <c:xMode val="edge"/>
          <c:yMode val="edge"/>
          <c:x val="0.10215624761944335"/>
          <c:y val="0.14984976602671435"/>
          <c:w val="0.87294524200306101"/>
          <c:h val="0.68678512878448605"/>
        </c:manualLayout>
      </c:layout>
      <c:lineChart>
        <c:grouping val="standard"/>
        <c:varyColors val="0"/>
        <c:ser>
          <c:idx val="3"/>
          <c:order val="0"/>
          <c:tx>
            <c:strRef>
              <c:f>'GHG History &amp; Goal'!$E$6</c:f>
              <c:strCache>
                <c:ptCount val="1"/>
                <c:pt idx="0">
                  <c:v>Projection to Goal</c:v>
                </c:pt>
              </c:strCache>
            </c:strRef>
          </c:tx>
          <c:spPr>
            <a:ln w="50800">
              <a:solidFill>
                <a:srgbClr val="92D050"/>
              </a:solidFill>
              <a:prstDash val="dash"/>
            </a:ln>
          </c:spPr>
          <c:marker>
            <c:symbol val="none"/>
          </c:marker>
          <c:cat>
            <c:numRef>
              <c:f>'GHG History &amp; Goal'!$C$7:$C$57</c:f>
              <c:numCache>
                <c:formatCode>General</c:formatCode>
                <c:ptCount val="51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</c:v>
                </c:pt>
                <c:pt idx="20">
                  <c:v>2020</c:v>
                </c:pt>
                <c:pt idx="21">
                  <c:v>2021</c:v>
                </c:pt>
                <c:pt idx="22">
                  <c:v>2022</c:v>
                </c:pt>
                <c:pt idx="23">
                  <c:v>2023</c:v>
                </c:pt>
                <c:pt idx="24">
                  <c:v>2024</c:v>
                </c:pt>
                <c:pt idx="25">
                  <c:v>2025</c:v>
                </c:pt>
                <c:pt idx="26">
                  <c:v>2026</c:v>
                </c:pt>
                <c:pt idx="27">
                  <c:v>2027</c:v>
                </c:pt>
                <c:pt idx="28">
                  <c:v>2028</c:v>
                </c:pt>
                <c:pt idx="29">
                  <c:v>2029</c:v>
                </c:pt>
                <c:pt idx="30">
                  <c:v>2030</c:v>
                </c:pt>
                <c:pt idx="31">
                  <c:v>2031</c:v>
                </c:pt>
                <c:pt idx="32">
                  <c:v>2032</c:v>
                </c:pt>
                <c:pt idx="33">
                  <c:v>2033</c:v>
                </c:pt>
                <c:pt idx="34">
                  <c:v>2034</c:v>
                </c:pt>
                <c:pt idx="35">
                  <c:v>2035</c:v>
                </c:pt>
                <c:pt idx="36">
                  <c:v>2036</c:v>
                </c:pt>
                <c:pt idx="37">
                  <c:v>2037</c:v>
                </c:pt>
                <c:pt idx="38">
                  <c:v>2038</c:v>
                </c:pt>
                <c:pt idx="39">
                  <c:v>2039</c:v>
                </c:pt>
                <c:pt idx="40">
                  <c:v>2040</c:v>
                </c:pt>
                <c:pt idx="41">
                  <c:v>2041</c:v>
                </c:pt>
                <c:pt idx="42">
                  <c:v>2042</c:v>
                </c:pt>
                <c:pt idx="43">
                  <c:v>2043</c:v>
                </c:pt>
                <c:pt idx="44">
                  <c:v>2044</c:v>
                </c:pt>
                <c:pt idx="45">
                  <c:v>2045</c:v>
                </c:pt>
                <c:pt idx="46">
                  <c:v>2046</c:v>
                </c:pt>
                <c:pt idx="47">
                  <c:v>2047</c:v>
                </c:pt>
                <c:pt idx="48">
                  <c:v>2048</c:v>
                </c:pt>
                <c:pt idx="49">
                  <c:v>2049</c:v>
                </c:pt>
                <c:pt idx="50">
                  <c:v>2050</c:v>
                </c:pt>
              </c:numCache>
            </c:numRef>
          </c:cat>
          <c:val>
            <c:numRef>
              <c:f>'GHG History &amp; Goal'!$E$7:$E$57</c:f>
              <c:numCache>
                <c:formatCode>General</c:formatCode>
                <c:ptCount val="51"/>
                <c:pt idx="14" formatCode="0.0">
                  <c:v>441.5</c:v>
                </c:pt>
                <c:pt idx="15" formatCode="0.0">
                  <c:v>430.06875000000002</c:v>
                </c:pt>
                <c:pt idx="16" formatCode="0.0">
                  <c:v>418.63750000000005</c:v>
                </c:pt>
                <c:pt idx="17" formatCode="0.0">
                  <c:v>407.20625000000007</c:v>
                </c:pt>
                <c:pt idx="18" formatCode="0.0">
                  <c:v>395.77500000000009</c:v>
                </c:pt>
                <c:pt idx="19" formatCode="0.0">
                  <c:v>384.34375000000011</c:v>
                </c:pt>
                <c:pt idx="20" formatCode="0.0">
                  <c:v>372.91250000000014</c:v>
                </c:pt>
                <c:pt idx="21" formatCode="0.0">
                  <c:v>361.48125000000016</c:v>
                </c:pt>
                <c:pt idx="22" formatCode="0.0">
                  <c:v>350.05000000000018</c:v>
                </c:pt>
                <c:pt idx="23" formatCode="0.0">
                  <c:v>338.6187500000002</c:v>
                </c:pt>
                <c:pt idx="24" formatCode="0.0">
                  <c:v>327.18750000000023</c:v>
                </c:pt>
                <c:pt idx="25" formatCode="0.0">
                  <c:v>315.75625000000025</c:v>
                </c:pt>
                <c:pt idx="26" formatCode="0.0">
                  <c:v>304.32500000000027</c:v>
                </c:pt>
                <c:pt idx="27" formatCode="0.0">
                  <c:v>292.8937500000003</c:v>
                </c:pt>
                <c:pt idx="28" formatCode="0.0">
                  <c:v>281.46250000000032</c:v>
                </c:pt>
                <c:pt idx="29" formatCode="0.0">
                  <c:v>270.03125000000034</c:v>
                </c:pt>
                <c:pt idx="30" formatCode="0.0">
                  <c:v>258.59999999999997</c:v>
                </c:pt>
                <c:pt idx="31" formatCode="0.0">
                  <c:v>249.97999999999996</c:v>
                </c:pt>
                <c:pt idx="32" formatCode="0.0">
                  <c:v>241.35999999999996</c:v>
                </c:pt>
                <c:pt idx="33" formatCode="0.0">
                  <c:v>232.73999999999995</c:v>
                </c:pt>
                <c:pt idx="34" formatCode="0.0">
                  <c:v>224.11999999999995</c:v>
                </c:pt>
                <c:pt idx="35" formatCode="0.0">
                  <c:v>215.49999999999994</c:v>
                </c:pt>
                <c:pt idx="36" formatCode="0.0">
                  <c:v>206.87999999999994</c:v>
                </c:pt>
                <c:pt idx="37" formatCode="0.0">
                  <c:v>198.25999999999993</c:v>
                </c:pt>
                <c:pt idx="38" formatCode="0.0">
                  <c:v>189.63999999999993</c:v>
                </c:pt>
                <c:pt idx="39" formatCode="0.0">
                  <c:v>181.01999999999992</c:v>
                </c:pt>
                <c:pt idx="40" formatCode="0.0">
                  <c:v>172.39999999999992</c:v>
                </c:pt>
                <c:pt idx="41" formatCode="0.0">
                  <c:v>163.77999999999992</c:v>
                </c:pt>
                <c:pt idx="42" formatCode="0.0">
                  <c:v>155.15999999999991</c:v>
                </c:pt>
                <c:pt idx="43" formatCode="0.0">
                  <c:v>146.53999999999991</c:v>
                </c:pt>
                <c:pt idx="44" formatCode="0.0">
                  <c:v>137.9199999999999</c:v>
                </c:pt>
                <c:pt idx="45" formatCode="0.0">
                  <c:v>129.2999999999999</c:v>
                </c:pt>
                <c:pt idx="46" formatCode="0.0">
                  <c:v>120.67999999999989</c:v>
                </c:pt>
                <c:pt idx="47" formatCode="0.0">
                  <c:v>112.05999999999989</c:v>
                </c:pt>
                <c:pt idx="48" formatCode="0.0">
                  <c:v>103.43999999999988</c:v>
                </c:pt>
                <c:pt idx="49" formatCode="0.0">
                  <c:v>94.819999999999879</c:v>
                </c:pt>
                <c:pt idx="50" formatCode="0.0">
                  <c:v>86.2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30-4FFE-9367-DD42121C1ACB}"/>
            </c:ext>
          </c:extLst>
        </c:ser>
        <c:ser>
          <c:idx val="4"/>
          <c:order val="1"/>
          <c:tx>
            <c:strRef>
              <c:f>'GHG History &amp; Goal'!$F$6</c:f>
              <c:strCache>
                <c:ptCount val="1"/>
                <c:pt idx="0">
                  <c:v>1990 GHG level</c:v>
                </c:pt>
              </c:strCache>
            </c:strRef>
          </c:tx>
          <c:spPr>
            <a:ln>
              <a:solidFill>
                <a:srgbClr val="FF0000"/>
              </a:solidFill>
              <a:prstDash val="sysDot"/>
            </a:ln>
          </c:spPr>
          <c:marker>
            <c:symbol val="none"/>
          </c:marker>
          <c:cat>
            <c:numRef>
              <c:f>'GHG History &amp; Goal'!$C$7:$C$57</c:f>
              <c:numCache>
                <c:formatCode>General</c:formatCode>
                <c:ptCount val="51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</c:v>
                </c:pt>
                <c:pt idx="20">
                  <c:v>2020</c:v>
                </c:pt>
                <c:pt idx="21">
                  <c:v>2021</c:v>
                </c:pt>
                <c:pt idx="22">
                  <c:v>2022</c:v>
                </c:pt>
                <c:pt idx="23">
                  <c:v>2023</c:v>
                </c:pt>
                <c:pt idx="24">
                  <c:v>2024</c:v>
                </c:pt>
                <c:pt idx="25">
                  <c:v>2025</c:v>
                </c:pt>
                <c:pt idx="26">
                  <c:v>2026</c:v>
                </c:pt>
                <c:pt idx="27">
                  <c:v>2027</c:v>
                </c:pt>
                <c:pt idx="28">
                  <c:v>2028</c:v>
                </c:pt>
                <c:pt idx="29">
                  <c:v>2029</c:v>
                </c:pt>
                <c:pt idx="30">
                  <c:v>2030</c:v>
                </c:pt>
                <c:pt idx="31">
                  <c:v>2031</c:v>
                </c:pt>
                <c:pt idx="32">
                  <c:v>2032</c:v>
                </c:pt>
                <c:pt idx="33">
                  <c:v>2033</c:v>
                </c:pt>
                <c:pt idx="34">
                  <c:v>2034</c:v>
                </c:pt>
                <c:pt idx="35">
                  <c:v>2035</c:v>
                </c:pt>
                <c:pt idx="36">
                  <c:v>2036</c:v>
                </c:pt>
                <c:pt idx="37">
                  <c:v>2037</c:v>
                </c:pt>
                <c:pt idx="38">
                  <c:v>2038</c:v>
                </c:pt>
                <c:pt idx="39">
                  <c:v>2039</c:v>
                </c:pt>
                <c:pt idx="40">
                  <c:v>2040</c:v>
                </c:pt>
                <c:pt idx="41">
                  <c:v>2041</c:v>
                </c:pt>
                <c:pt idx="42">
                  <c:v>2042</c:v>
                </c:pt>
                <c:pt idx="43">
                  <c:v>2043</c:v>
                </c:pt>
                <c:pt idx="44">
                  <c:v>2044</c:v>
                </c:pt>
                <c:pt idx="45">
                  <c:v>2045</c:v>
                </c:pt>
                <c:pt idx="46">
                  <c:v>2046</c:v>
                </c:pt>
                <c:pt idx="47">
                  <c:v>2047</c:v>
                </c:pt>
                <c:pt idx="48">
                  <c:v>2048</c:v>
                </c:pt>
                <c:pt idx="49">
                  <c:v>2049</c:v>
                </c:pt>
                <c:pt idx="50">
                  <c:v>2050</c:v>
                </c:pt>
              </c:numCache>
            </c:numRef>
          </c:cat>
          <c:val>
            <c:numRef>
              <c:f>'GHG History &amp; Goal'!$F$7:$F$57</c:f>
              <c:numCache>
                <c:formatCode>General</c:formatCode>
                <c:ptCount val="51"/>
                <c:pt idx="0">
                  <c:v>431</c:v>
                </c:pt>
                <c:pt idx="1">
                  <c:v>431</c:v>
                </c:pt>
                <c:pt idx="2">
                  <c:v>431</c:v>
                </c:pt>
                <c:pt idx="3">
                  <c:v>431</c:v>
                </c:pt>
                <c:pt idx="4">
                  <c:v>431</c:v>
                </c:pt>
                <c:pt idx="5">
                  <c:v>431</c:v>
                </c:pt>
                <c:pt idx="6">
                  <c:v>431</c:v>
                </c:pt>
                <c:pt idx="7">
                  <c:v>431</c:v>
                </c:pt>
                <c:pt idx="8">
                  <c:v>431</c:v>
                </c:pt>
                <c:pt idx="9">
                  <c:v>431</c:v>
                </c:pt>
                <c:pt idx="10">
                  <c:v>431</c:v>
                </c:pt>
                <c:pt idx="11">
                  <c:v>431</c:v>
                </c:pt>
                <c:pt idx="12">
                  <c:v>431</c:v>
                </c:pt>
                <c:pt idx="13">
                  <c:v>431</c:v>
                </c:pt>
                <c:pt idx="14">
                  <c:v>431</c:v>
                </c:pt>
                <c:pt idx="15">
                  <c:v>431</c:v>
                </c:pt>
                <c:pt idx="16">
                  <c:v>431</c:v>
                </c:pt>
                <c:pt idx="17">
                  <c:v>431</c:v>
                </c:pt>
                <c:pt idx="18">
                  <c:v>431</c:v>
                </c:pt>
                <c:pt idx="19">
                  <c:v>431</c:v>
                </c:pt>
                <c:pt idx="20">
                  <c:v>431</c:v>
                </c:pt>
                <c:pt idx="21">
                  <c:v>431</c:v>
                </c:pt>
                <c:pt idx="22">
                  <c:v>431</c:v>
                </c:pt>
                <c:pt idx="23">
                  <c:v>431</c:v>
                </c:pt>
                <c:pt idx="24">
                  <c:v>431</c:v>
                </c:pt>
                <c:pt idx="25">
                  <c:v>431</c:v>
                </c:pt>
                <c:pt idx="26">
                  <c:v>431</c:v>
                </c:pt>
                <c:pt idx="27">
                  <c:v>431</c:v>
                </c:pt>
                <c:pt idx="28">
                  <c:v>431</c:v>
                </c:pt>
                <c:pt idx="29">
                  <c:v>431</c:v>
                </c:pt>
                <c:pt idx="30">
                  <c:v>431</c:v>
                </c:pt>
                <c:pt idx="31">
                  <c:v>431</c:v>
                </c:pt>
                <c:pt idx="32">
                  <c:v>431</c:v>
                </c:pt>
                <c:pt idx="33">
                  <c:v>431</c:v>
                </c:pt>
                <c:pt idx="34">
                  <c:v>431</c:v>
                </c:pt>
                <c:pt idx="35">
                  <c:v>431</c:v>
                </c:pt>
                <c:pt idx="36">
                  <c:v>431</c:v>
                </c:pt>
                <c:pt idx="37">
                  <c:v>431</c:v>
                </c:pt>
                <c:pt idx="38">
                  <c:v>431</c:v>
                </c:pt>
                <c:pt idx="39">
                  <c:v>431</c:v>
                </c:pt>
                <c:pt idx="40">
                  <c:v>431</c:v>
                </c:pt>
                <c:pt idx="41">
                  <c:v>431</c:v>
                </c:pt>
                <c:pt idx="42">
                  <c:v>431</c:v>
                </c:pt>
                <c:pt idx="43">
                  <c:v>431</c:v>
                </c:pt>
                <c:pt idx="44">
                  <c:v>431</c:v>
                </c:pt>
                <c:pt idx="45">
                  <c:v>431</c:v>
                </c:pt>
                <c:pt idx="46">
                  <c:v>431</c:v>
                </c:pt>
                <c:pt idx="47">
                  <c:v>431</c:v>
                </c:pt>
                <c:pt idx="48">
                  <c:v>431</c:v>
                </c:pt>
                <c:pt idx="49">
                  <c:v>431</c:v>
                </c:pt>
                <c:pt idx="50">
                  <c:v>431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30-4FFE-9367-DD42121C1ACB}"/>
            </c:ext>
          </c:extLst>
        </c:ser>
        <c:ser>
          <c:idx val="1"/>
          <c:order val="2"/>
          <c:tx>
            <c:strRef>
              <c:f>'GHG History &amp; Goal'!$G$6</c:f>
              <c:strCache>
                <c:ptCount val="1"/>
                <c:pt idx="0">
                  <c:v>40% below 1990 levels
by 2030</c:v>
                </c:pt>
              </c:strCache>
            </c:strRef>
          </c:tx>
          <c:spPr>
            <a:ln>
              <a:solidFill>
                <a:srgbClr val="0070C0"/>
              </a:solidFill>
              <a:prstDash val="sysDot"/>
            </a:ln>
          </c:spPr>
          <c:marker>
            <c:symbol val="none"/>
          </c:marker>
          <c:cat>
            <c:numRef>
              <c:f>'GHG History &amp; Goal'!$C$7:$C$57</c:f>
              <c:numCache>
                <c:formatCode>General</c:formatCode>
                <c:ptCount val="51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</c:v>
                </c:pt>
                <c:pt idx="20">
                  <c:v>2020</c:v>
                </c:pt>
                <c:pt idx="21">
                  <c:v>2021</c:v>
                </c:pt>
                <c:pt idx="22">
                  <c:v>2022</c:v>
                </c:pt>
                <c:pt idx="23">
                  <c:v>2023</c:v>
                </c:pt>
                <c:pt idx="24">
                  <c:v>2024</c:v>
                </c:pt>
                <c:pt idx="25">
                  <c:v>2025</c:v>
                </c:pt>
                <c:pt idx="26">
                  <c:v>2026</c:v>
                </c:pt>
                <c:pt idx="27">
                  <c:v>2027</c:v>
                </c:pt>
                <c:pt idx="28">
                  <c:v>2028</c:v>
                </c:pt>
                <c:pt idx="29">
                  <c:v>2029</c:v>
                </c:pt>
                <c:pt idx="30">
                  <c:v>2030</c:v>
                </c:pt>
                <c:pt idx="31">
                  <c:v>2031</c:v>
                </c:pt>
                <c:pt idx="32">
                  <c:v>2032</c:v>
                </c:pt>
                <c:pt idx="33">
                  <c:v>2033</c:v>
                </c:pt>
                <c:pt idx="34">
                  <c:v>2034</c:v>
                </c:pt>
                <c:pt idx="35">
                  <c:v>2035</c:v>
                </c:pt>
                <c:pt idx="36">
                  <c:v>2036</c:v>
                </c:pt>
                <c:pt idx="37">
                  <c:v>2037</c:v>
                </c:pt>
                <c:pt idx="38">
                  <c:v>2038</c:v>
                </c:pt>
                <c:pt idx="39">
                  <c:v>2039</c:v>
                </c:pt>
                <c:pt idx="40">
                  <c:v>2040</c:v>
                </c:pt>
                <c:pt idx="41">
                  <c:v>2041</c:v>
                </c:pt>
                <c:pt idx="42">
                  <c:v>2042</c:v>
                </c:pt>
                <c:pt idx="43">
                  <c:v>2043</c:v>
                </c:pt>
                <c:pt idx="44">
                  <c:v>2044</c:v>
                </c:pt>
                <c:pt idx="45">
                  <c:v>2045</c:v>
                </c:pt>
                <c:pt idx="46">
                  <c:v>2046</c:v>
                </c:pt>
                <c:pt idx="47">
                  <c:v>2047</c:v>
                </c:pt>
                <c:pt idx="48">
                  <c:v>2048</c:v>
                </c:pt>
                <c:pt idx="49">
                  <c:v>2049</c:v>
                </c:pt>
                <c:pt idx="50">
                  <c:v>2050</c:v>
                </c:pt>
              </c:numCache>
            </c:numRef>
          </c:cat>
          <c:val>
            <c:numRef>
              <c:f>'GHG History &amp; Goal'!$G$7:$G$57</c:f>
              <c:numCache>
                <c:formatCode>General</c:formatCode>
                <c:ptCount val="51"/>
                <c:pt idx="0">
                  <c:v>258.59999999999997</c:v>
                </c:pt>
                <c:pt idx="1">
                  <c:v>258.59999999999997</c:v>
                </c:pt>
                <c:pt idx="2">
                  <c:v>258.59999999999997</c:v>
                </c:pt>
                <c:pt idx="3">
                  <c:v>258.59999999999997</c:v>
                </c:pt>
                <c:pt idx="4">
                  <c:v>258.59999999999997</c:v>
                </c:pt>
                <c:pt idx="5">
                  <c:v>258.59999999999997</c:v>
                </c:pt>
                <c:pt idx="6">
                  <c:v>258.59999999999997</c:v>
                </c:pt>
                <c:pt idx="7">
                  <c:v>258.59999999999997</c:v>
                </c:pt>
                <c:pt idx="8">
                  <c:v>258.59999999999997</c:v>
                </c:pt>
                <c:pt idx="9">
                  <c:v>258.59999999999997</c:v>
                </c:pt>
                <c:pt idx="10">
                  <c:v>258.59999999999997</c:v>
                </c:pt>
                <c:pt idx="11">
                  <c:v>258.59999999999997</c:v>
                </c:pt>
                <c:pt idx="12">
                  <c:v>258.59999999999997</c:v>
                </c:pt>
                <c:pt idx="13">
                  <c:v>258.59999999999997</c:v>
                </c:pt>
                <c:pt idx="14">
                  <c:v>258.59999999999997</c:v>
                </c:pt>
                <c:pt idx="15">
                  <c:v>258.59999999999997</c:v>
                </c:pt>
                <c:pt idx="16">
                  <c:v>258.59999999999997</c:v>
                </c:pt>
                <c:pt idx="17">
                  <c:v>258.59999999999997</c:v>
                </c:pt>
                <c:pt idx="18">
                  <c:v>258.59999999999997</c:v>
                </c:pt>
                <c:pt idx="19">
                  <c:v>258.59999999999997</c:v>
                </c:pt>
                <c:pt idx="20">
                  <c:v>258.59999999999997</c:v>
                </c:pt>
                <c:pt idx="21">
                  <c:v>258.59999999999997</c:v>
                </c:pt>
                <c:pt idx="22">
                  <c:v>258.59999999999997</c:v>
                </c:pt>
                <c:pt idx="23">
                  <c:v>258.59999999999997</c:v>
                </c:pt>
                <c:pt idx="24">
                  <c:v>258.59999999999997</c:v>
                </c:pt>
                <c:pt idx="25">
                  <c:v>258.59999999999997</c:v>
                </c:pt>
                <c:pt idx="26">
                  <c:v>258.59999999999997</c:v>
                </c:pt>
                <c:pt idx="27">
                  <c:v>258.59999999999997</c:v>
                </c:pt>
                <c:pt idx="28">
                  <c:v>258.59999999999997</c:v>
                </c:pt>
                <c:pt idx="29">
                  <c:v>258.59999999999997</c:v>
                </c:pt>
                <c:pt idx="30">
                  <c:v>258.59999999999997</c:v>
                </c:pt>
                <c:pt idx="31">
                  <c:v>258.59999999999997</c:v>
                </c:pt>
                <c:pt idx="32">
                  <c:v>258.59999999999997</c:v>
                </c:pt>
                <c:pt idx="33">
                  <c:v>258.59999999999997</c:v>
                </c:pt>
                <c:pt idx="34">
                  <c:v>258.59999999999997</c:v>
                </c:pt>
                <c:pt idx="35">
                  <c:v>258.59999999999997</c:v>
                </c:pt>
                <c:pt idx="36">
                  <c:v>258.59999999999997</c:v>
                </c:pt>
                <c:pt idx="37">
                  <c:v>258.59999999999997</c:v>
                </c:pt>
                <c:pt idx="38">
                  <c:v>258.59999999999997</c:v>
                </c:pt>
                <c:pt idx="39">
                  <c:v>258.59999999999997</c:v>
                </c:pt>
                <c:pt idx="40">
                  <c:v>258.59999999999997</c:v>
                </c:pt>
                <c:pt idx="41">
                  <c:v>258.59999999999997</c:v>
                </c:pt>
                <c:pt idx="42">
                  <c:v>258.59999999999997</c:v>
                </c:pt>
                <c:pt idx="43">
                  <c:v>258.59999999999997</c:v>
                </c:pt>
                <c:pt idx="44">
                  <c:v>258.59999999999997</c:v>
                </c:pt>
                <c:pt idx="45">
                  <c:v>258.59999999999997</c:v>
                </c:pt>
                <c:pt idx="46">
                  <c:v>258.59999999999997</c:v>
                </c:pt>
                <c:pt idx="47">
                  <c:v>258.59999999999997</c:v>
                </c:pt>
                <c:pt idx="48">
                  <c:v>258.59999999999997</c:v>
                </c:pt>
                <c:pt idx="49">
                  <c:v>258.59999999999997</c:v>
                </c:pt>
                <c:pt idx="50">
                  <c:v>258.59999999999997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530-4FFE-9367-DD42121C1ACB}"/>
            </c:ext>
          </c:extLst>
        </c:ser>
        <c:ser>
          <c:idx val="5"/>
          <c:order val="3"/>
          <c:tx>
            <c:strRef>
              <c:f>'GHG History &amp; Goal'!$H$6</c:f>
              <c:strCache>
                <c:ptCount val="1"/>
                <c:pt idx="0">
                  <c:v>80% below 1990 levels
 by 2050</c:v>
                </c:pt>
              </c:strCache>
            </c:strRef>
          </c:tx>
          <c:spPr>
            <a:ln>
              <a:solidFill>
                <a:schemeClr val="accent3">
                  <a:lumMod val="50000"/>
                </a:schemeClr>
              </a:solidFill>
              <a:prstDash val="sysDot"/>
            </a:ln>
          </c:spPr>
          <c:marker>
            <c:symbol val="none"/>
          </c:marker>
          <c:cat>
            <c:numRef>
              <c:f>'GHG History &amp; Goal'!$C$7:$C$57</c:f>
              <c:numCache>
                <c:formatCode>General</c:formatCode>
                <c:ptCount val="51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</c:v>
                </c:pt>
                <c:pt idx="20">
                  <c:v>2020</c:v>
                </c:pt>
                <c:pt idx="21">
                  <c:v>2021</c:v>
                </c:pt>
                <c:pt idx="22">
                  <c:v>2022</c:v>
                </c:pt>
                <c:pt idx="23">
                  <c:v>2023</c:v>
                </c:pt>
                <c:pt idx="24">
                  <c:v>2024</c:v>
                </c:pt>
                <c:pt idx="25">
                  <c:v>2025</c:v>
                </c:pt>
                <c:pt idx="26">
                  <c:v>2026</c:v>
                </c:pt>
                <c:pt idx="27">
                  <c:v>2027</c:v>
                </c:pt>
                <c:pt idx="28">
                  <c:v>2028</c:v>
                </c:pt>
                <c:pt idx="29">
                  <c:v>2029</c:v>
                </c:pt>
                <c:pt idx="30">
                  <c:v>2030</c:v>
                </c:pt>
                <c:pt idx="31">
                  <c:v>2031</c:v>
                </c:pt>
                <c:pt idx="32">
                  <c:v>2032</c:v>
                </c:pt>
                <c:pt idx="33">
                  <c:v>2033</c:v>
                </c:pt>
                <c:pt idx="34">
                  <c:v>2034</c:v>
                </c:pt>
                <c:pt idx="35">
                  <c:v>2035</c:v>
                </c:pt>
                <c:pt idx="36">
                  <c:v>2036</c:v>
                </c:pt>
                <c:pt idx="37">
                  <c:v>2037</c:v>
                </c:pt>
                <c:pt idx="38">
                  <c:v>2038</c:v>
                </c:pt>
                <c:pt idx="39">
                  <c:v>2039</c:v>
                </c:pt>
                <c:pt idx="40">
                  <c:v>2040</c:v>
                </c:pt>
                <c:pt idx="41">
                  <c:v>2041</c:v>
                </c:pt>
                <c:pt idx="42">
                  <c:v>2042</c:v>
                </c:pt>
                <c:pt idx="43">
                  <c:v>2043</c:v>
                </c:pt>
                <c:pt idx="44">
                  <c:v>2044</c:v>
                </c:pt>
                <c:pt idx="45">
                  <c:v>2045</c:v>
                </c:pt>
                <c:pt idx="46">
                  <c:v>2046</c:v>
                </c:pt>
                <c:pt idx="47">
                  <c:v>2047</c:v>
                </c:pt>
                <c:pt idx="48">
                  <c:v>2048</c:v>
                </c:pt>
                <c:pt idx="49">
                  <c:v>2049</c:v>
                </c:pt>
                <c:pt idx="50">
                  <c:v>2050</c:v>
                </c:pt>
              </c:numCache>
            </c:numRef>
          </c:cat>
          <c:val>
            <c:numRef>
              <c:f>'GHG History &amp; Goal'!$H$7:$H$57</c:f>
              <c:numCache>
                <c:formatCode>General</c:formatCode>
                <c:ptCount val="51"/>
                <c:pt idx="0">
                  <c:v>86.2</c:v>
                </c:pt>
                <c:pt idx="1">
                  <c:v>86.2</c:v>
                </c:pt>
                <c:pt idx="2">
                  <c:v>86.2</c:v>
                </c:pt>
                <c:pt idx="3">
                  <c:v>86.2</c:v>
                </c:pt>
                <c:pt idx="4">
                  <c:v>86.2</c:v>
                </c:pt>
                <c:pt idx="5">
                  <c:v>86.2</c:v>
                </c:pt>
                <c:pt idx="6">
                  <c:v>86.2</c:v>
                </c:pt>
                <c:pt idx="7">
                  <c:v>86.2</c:v>
                </c:pt>
                <c:pt idx="8">
                  <c:v>86.2</c:v>
                </c:pt>
                <c:pt idx="9">
                  <c:v>86.2</c:v>
                </c:pt>
                <c:pt idx="10">
                  <c:v>86.2</c:v>
                </c:pt>
                <c:pt idx="11">
                  <c:v>86.2</c:v>
                </c:pt>
                <c:pt idx="12">
                  <c:v>86.2</c:v>
                </c:pt>
                <c:pt idx="13">
                  <c:v>86.2</c:v>
                </c:pt>
                <c:pt idx="14">
                  <c:v>86.2</c:v>
                </c:pt>
                <c:pt idx="15">
                  <c:v>86.2</c:v>
                </c:pt>
                <c:pt idx="16">
                  <c:v>86.2</c:v>
                </c:pt>
                <c:pt idx="17">
                  <c:v>86.2</c:v>
                </c:pt>
                <c:pt idx="18">
                  <c:v>86.2</c:v>
                </c:pt>
                <c:pt idx="19">
                  <c:v>86.2</c:v>
                </c:pt>
                <c:pt idx="20">
                  <c:v>86.2</c:v>
                </c:pt>
                <c:pt idx="21">
                  <c:v>86.2</c:v>
                </c:pt>
                <c:pt idx="22">
                  <c:v>86.2</c:v>
                </c:pt>
                <c:pt idx="23">
                  <c:v>86.2</c:v>
                </c:pt>
                <c:pt idx="24">
                  <c:v>86.2</c:v>
                </c:pt>
                <c:pt idx="25">
                  <c:v>86.2</c:v>
                </c:pt>
                <c:pt idx="26">
                  <c:v>86.2</c:v>
                </c:pt>
                <c:pt idx="27">
                  <c:v>86.2</c:v>
                </c:pt>
                <c:pt idx="28">
                  <c:v>86.2</c:v>
                </c:pt>
                <c:pt idx="29">
                  <c:v>86.2</c:v>
                </c:pt>
                <c:pt idx="30">
                  <c:v>86.2</c:v>
                </c:pt>
                <c:pt idx="31">
                  <c:v>86.2</c:v>
                </c:pt>
                <c:pt idx="32">
                  <c:v>86.2</c:v>
                </c:pt>
                <c:pt idx="33">
                  <c:v>86.2</c:v>
                </c:pt>
                <c:pt idx="34">
                  <c:v>86.2</c:v>
                </c:pt>
                <c:pt idx="35">
                  <c:v>86.2</c:v>
                </c:pt>
                <c:pt idx="36">
                  <c:v>86.2</c:v>
                </c:pt>
                <c:pt idx="37">
                  <c:v>86.2</c:v>
                </c:pt>
                <c:pt idx="38">
                  <c:v>86.2</c:v>
                </c:pt>
                <c:pt idx="39">
                  <c:v>86.2</c:v>
                </c:pt>
                <c:pt idx="40">
                  <c:v>86.2</c:v>
                </c:pt>
                <c:pt idx="41">
                  <c:v>86.2</c:v>
                </c:pt>
                <c:pt idx="42">
                  <c:v>86.2</c:v>
                </c:pt>
                <c:pt idx="43">
                  <c:v>86.2</c:v>
                </c:pt>
                <c:pt idx="44">
                  <c:v>86.2</c:v>
                </c:pt>
                <c:pt idx="45">
                  <c:v>86.2</c:v>
                </c:pt>
                <c:pt idx="46">
                  <c:v>86.2</c:v>
                </c:pt>
                <c:pt idx="47">
                  <c:v>86.2</c:v>
                </c:pt>
                <c:pt idx="48">
                  <c:v>86.2</c:v>
                </c:pt>
                <c:pt idx="49">
                  <c:v>86.2</c:v>
                </c:pt>
                <c:pt idx="50">
                  <c:v>86.2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530-4FFE-9367-DD42121C1ACB}"/>
            </c:ext>
          </c:extLst>
        </c:ser>
        <c:ser>
          <c:idx val="2"/>
          <c:order val="4"/>
          <c:tx>
            <c:strRef>
              <c:f>'GHG History &amp; Goal'!$D$6</c:f>
              <c:strCache>
                <c:ptCount val="1"/>
                <c:pt idx="0">
                  <c:v>CA GHG Historical</c:v>
                </c:pt>
              </c:strCache>
            </c:strRef>
          </c:tx>
          <c:spPr>
            <a:ln w="50800">
              <a:solidFill>
                <a:schemeClr val="tx1"/>
              </a:solidFill>
              <a:prstDash val="solid"/>
            </a:ln>
          </c:spPr>
          <c:marker>
            <c:symbol val="none"/>
          </c:marker>
          <c:cat>
            <c:numRef>
              <c:f>'GHG History &amp; Goal'!$C$7:$C$57</c:f>
              <c:numCache>
                <c:formatCode>General</c:formatCode>
                <c:ptCount val="51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</c:v>
                </c:pt>
                <c:pt idx="20">
                  <c:v>2020</c:v>
                </c:pt>
                <c:pt idx="21">
                  <c:v>2021</c:v>
                </c:pt>
                <c:pt idx="22">
                  <c:v>2022</c:v>
                </c:pt>
                <c:pt idx="23">
                  <c:v>2023</c:v>
                </c:pt>
                <c:pt idx="24">
                  <c:v>2024</c:v>
                </c:pt>
                <c:pt idx="25">
                  <c:v>2025</c:v>
                </c:pt>
                <c:pt idx="26">
                  <c:v>2026</c:v>
                </c:pt>
                <c:pt idx="27">
                  <c:v>2027</c:v>
                </c:pt>
                <c:pt idx="28">
                  <c:v>2028</c:v>
                </c:pt>
                <c:pt idx="29">
                  <c:v>2029</c:v>
                </c:pt>
                <c:pt idx="30">
                  <c:v>2030</c:v>
                </c:pt>
                <c:pt idx="31">
                  <c:v>2031</c:v>
                </c:pt>
                <c:pt idx="32">
                  <c:v>2032</c:v>
                </c:pt>
                <c:pt idx="33">
                  <c:v>2033</c:v>
                </c:pt>
                <c:pt idx="34">
                  <c:v>2034</c:v>
                </c:pt>
                <c:pt idx="35">
                  <c:v>2035</c:v>
                </c:pt>
                <c:pt idx="36">
                  <c:v>2036</c:v>
                </c:pt>
                <c:pt idx="37">
                  <c:v>2037</c:v>
                </c:pt>
                <c:pt idx="38">
                  <c:v>2038</c:v>
                </c:pt>
                <c:pt idx="39">
                  <c:v>2039</c:v>
                </c:pt>
                <c:pt idx="40">
                  <c:v>2040</c:v>
                </c:pt>
                <c:pt idx="41">
                  <c:v>2041</c:v>
                </c:pt>
                <c:pt idx="42">
                  <c:v>2042</c:v>
                </c:pt>
                <c:pt idx="43">
                  <c:v>2043</c:v>
                </c:pt>
                <c:pt idx="44">
                  <c:v>2044</c:v>
                </c:pt>
                <c:pt idx="45">
                  <c:v>2045</c:v>
                </c:pt>
                <c:pt idx="46">
                  <c:v>2046</c:v>
                </c:pt>
                <c:pt idx="47">
                  <c:v>2047</c:v>
                </c:pt>
                <c:pt idx="48">
                  <c:v>2048</c:v>
                </c:pt>
                <c:pt idx="49">
                  <c:v>2049</c:v>
                </c:pt>
                <c:pt idx="50">
                  <c:v>2050</c:v>
                </c:pt>
              </c:numCache>
            </c:numRef>
          </c:cat>
          <c:val>
            <c:numRef>
              <c:f>'GHG History &amp; Goal'!$D$7:$D$57</c:f>
              <c:numCache>
                <c:formatCode>0.0</c:formatCode>
                <c:ptCount val="51"/>
                <c:pt idx="0">
                  <c:v>465.9</c:v>
                </c:pt>
                <c:pt idx="1">
                  <c:v>480.4</c:v>
                </c:pt>
                <c:pt idx="2">
                  <c:v>479.9</c:v>
                </c:pt>
                <c:pt idx="3">
                  <c:v>497.5</c:v>
                </c:pt>
                <c:pt idx="4">
                  <c:v>487.6</c:v>
                </c:pt>
                <c:pt idx="5">
                  <c:v>479.8</c:v>
                </c:pt>
                <c:pt idx="6">
                  <c:v>476.5</c:v>
                </c:pt>
                <c:pt idx="7">
                  <c:v>484.2</c:v>
                </c:pt>
                <c:pt idx="8">
                  <c:v>481.4</c:v>
                </c:pt>
                <c:pt idx="9">
                  <c:v>452.3</c:v>
                </c:pt>
                <c:pt idx="10">
                  <c:v>445</c:v>
                </c:pt>
                <c:pt idx="11">
                  <c:v>441.7</c:v>
                </c:pt>
                <c:pt idx="12">
                  <c:v>448.3</c:v>
                </c:pt>
                <c:pt idx="13">
                  <c:v>444.3</c:v>
                </c:pt>
                <c:pt idx="14">
                  <c:v>441.5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530-4FFE-9367-DD42121C1ACB}"/>
            </c:ext>
          </c:extLst>
        </c:ser>
        <c:ser>
          <c:idx val="0"/>
          <c:order val="5"/>
          <c:tx>
            <c:strRef>
              <c:f>'GHG History &amp; Goal'!$I$6</c:f>
              <c:strCache>
                <c:ptCount val="1"/>
                <c:pt idx="0">
                  <c:v>SDG&amp;E GHG Historical</c:v>
                </c:pt>
              </c:strCache>
            </c:strRef>
          </c:tx>
          <c:marker>
            <c:symbol val="none"/>
          </c:marker>
          <c:val>
            <c:numRef>
              <c:f>'GHG History &amp; Goal'!$I$7:$I$21</c:f>
              <c:numCache>
                <c:formatCode>0.00</c:formatCode>
                <c:ptCount val="15"/>
                <c:pt idx="0">
                  <c:v>34.069760399453138</c:v>
                </c:pt>
                <c:pt idx="1">
                  <c:v>35.130098510189498</c:v>
                </c:pt>
                <c:pt idx="2">
                  <c:v>35.093535127060655</c:v>
                </c:pt>
                <c:pt idx="3">
                  <c:v>36.380566213195827</c:v>
                </c:pt>
                <c:pt idx="4">
                  <c:v>35.656611227244795</c:v>
                </c:pt>
                <c:pt idx="5">
                  <c:v>35.086222450434889</c:v>
                </c:pt>
                <c:pt idx="6">
                  <c:v>34.844904121784545</c:v>
                </c:pt>
                <c:pt idx="7">
                  <c:v>35.407980221968678</c:v>
                </c:pt>
                <c:pt idx="8">
                  <c:v>35.203225276447178</c:v>
                </c:pt>
                <c:pt idx="9">
                  <c:v>33.075236378348691</c:v>
                </c:pt>
                <c:pt idx="10">
                  <c:v>32.541410984667621</c:v>
                </c:pt>
                <c:pt idx="11">
                  <c:v>32.300092656017277</c:v>
                </c:pt>
                <c:pt idx="12">
                  <c:v>32.782729313317972</c:v>
                </c:pt>
                <c:pt idx="13">
                  <c:v>32.490222248287246</c:v>
                </c:pt>
                <c:pt idx="14">
                  <c:v>32.285467302765746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530-4FFE-9367-DD42121C1ACB}"/>
            </c:ext>
          </c:extLst>
        </c:ser>
        <c:ser>
          <c:idx val="6"/>
          <c:order val="6"/>
          <c:tx>
            <c:v>SDG&amp;E Projection To Goal</c:v>
          </c:tx>
          <c:spPr>
            <a:ln>
              <a:prstDash val="dash"/>
            </a:ln>
          </c:spPr>
          <c:marker>
            <c:symbol val="none"/>
          </c:marker>
          <c:val>
            <c:numRef>
              <c:f>'GHG History &amp; Goal'!$J$7:$J$57</c:f>
              <c:numCache>
                <c:formatCode>General</c:formatCode>
                <c:ptCount val="51"/>
                <c:pt idx="14" formatCode="_(* #,##0.0_);_(* \(#,##0.0\);_(* &quot;-&quot;??_);_(@_)">
                  <c:v>32.285467302765746</c:v>
                </c:pt>
                <c:pt idx="15" formatCode="_(* #,##0.0_);_(* \(#,##0.0\);_(* &quot;-&quot;??_);_(@_)">
                  <c:v>31.449536955982641</c:v>
                </c:pt>
                <c:pt idx="16" formatCode="_(* #,##0.0_);_(* \(#,##0.0\);_(* &quot;-&quot;??_);_(@_)">
                  <c:v>30.613606609199536</c:v>
                </c:pt>
                <c:pt idx="17" formatCode="_(* #,##0.0_);_(* \(#,##0.0\);_(* &quot;-&quot;??_);_(@_)">
                  <c:v>29.777676262416435</c:v>
                </c:pt>
                <c:pt idx="18" formatCode="_(* #,##0.0_);_(* \(#,##0.0\);_(* &quot;-&quot;??_);_(@_)">
                  <c:v>28.94174591563333</c:v>
                </c:pt>
                <c:pt idx="19" formatCode="_(* #,##0.0_);_(* \(#,##0.0\);_(* &quot;-&quot;??_);_(@_)">
                  <c:v>28.105815568850225</c:v>
                </c:pt>
                <c:pt idx="20" formatCode="_(* #,##0.0_);_(* \(#,##0.0\);_(* &quot;-&quot;??_);_(@_)">
                  <c:v>27.269885222067124</c:v>
                </c:pt>
                <c:pt idx="21" formatCode="_(* #,##0.0_);_(* \(#,##0.0\);_(* &quot;-&quot;??_);_(@_)">
                  <c:v>26.433954875284019</c:v>
                </c:pt>
                <c:pt idx="22" formatCode="_(* #,##0.0_);_(* \(#,##0.0\);_(* &quot;-&quot;??_);_(@_)">
                  <c:v>25.598024528500915</c:v>
                </c:pt>
                <c:pt idx="23" formatCode="_(* #,##0.0_);_(* \(#,##0.0\);_(* &quot;-&quot;??_);_(@_)">
                  <c:v>24.762094181717814</c:v>
                </c:pt>
                <c:pt idx="24" formatCode="_(* #,##0.0_);_(* \(#,##0.0\);_(* &quot;-&quot;??_);_(@_)">
                  <c:v>23.926163834934709</c:v>
                </c:pt>
                <c:pt idx="25" formatCode="_(* #,##0.0_);_(* \(#,##0.0\);_(* &quot;-&quot;??_);_(@_)">
                  <c:v>23.090233488151604</c:v>
                </c:pt>
                <c:pt idx="26" formatCode="_(* #,##0.0_);_(* \(#,##0.0\);_(* &quot;-&quot;??_);_(@_)">
                  <c:v>22.254303141368503</c:v>
                </c:pt>
                <c:pt idx="27" formatCode="_(* #,##0.0_);_(* \(#,##0.0\);_(* &quot;-&quot;??_);_(@_)">
                  <c:v>21.418372794585398</c:v>
                </c:pt>
                <c:pt idx="28" formatCode="_(* #,##0.0_);_(* \(#,##0.0\);_(* &quot;-&quot;??_);_(@_)">
                  <c:v>20.582442447802297</c:v>
                </c:pt>
                <c:pt idx="29" formatCode="_(* #,##0.0_);_(* \(#,##0.0\);_(* &quot;-&quot;??_);_(@_)">
                  <c:v>19.746512101019192</c:v>
                </c:pt>
                <c:pt idx="30" formatCode="_(* #,##0.0_);_(* \(#,##0.0\);_(* &quot;-&quot;??_);_(@_)">
                  <c:v>18.910581754236059</c:v>
                </c:pt>
                <c:pt idx="31" formatCode="_(* #,##0.0_);_(* \(#,##0.0\);_(* &quot;-&quot;??_);_(@_)">
                  <c:v>18.280229029094858</c:v>
                </c:pt>
                <c:pt idx="32" formatCode="_(* #,##0.0_);_(* \(#,##0.0\);_(* &quot;-&quot;??_);_(@_)">
                  <c:v>17.649876303953654</c:v>
                </c:pt>
                <c:pt idx="33" formatCode="_(* #,##0.0_);_(* \(#,##0.0\);_(* &quot;-&quot;??_);_(@_)">
                  <c:v>17.019523578812453</c:v>
                </c:pt>
                <c:pt idx="34" formatCode="_(* #,##0.0_);_(* \(#,##0.0\);_(* &quot;-&quot;??_);_(@_)">
                  <c:v>16.389170853671249</c:v>
                </c:pt>
                <c:pt idx="35" formatCode="_(* #,##0.0_);_(* \(#,##0.0\);_(* &quot;-&quot;??_);_(@_)">
                  <c:v>15.758818128530047</c:v>
                </c:pt>
                <c:pt idx="36" formatCode="_(* #,##0.0_);_(* \(#,##0.0\);_(* &quot;-&quot;??_);_(@_)">
                  <c:v>15.128465403388844</c:v>
                </c:pt>
                <c:pt idx="37" formatCode="_(* #,##0.0_);_(* \(#,##0.0\);_(* &quot;-&quot;??_);_(@_)">
                  <c:v>14.498112678247642</c:v>
                </c:pt>
                <c:pt idx="38" formatCode="_(* #,##0.0_);_(* \(#,##0.0\);_(* &quot;-&quot;??_);_(@_)">
                  <c:v>13.867759953106439</c:v>
                </c:pt>
                <c:pt idx="39" formatCode="_(* #,##0.0_);_(* \(#,##0.0\);_(* &quot;-&quot;??_);_(@_)">
                  <c:v>13.237407227965237</c:v>
                </c:pt>
                <c:pt idx="40" formatCode="_(* #,##0.0_);_(* \(#,##0.0\);_(* &quot;-&quot;??_);_(@_)">
                  <c:v>12.607054502824035</c:v>
                </c:pt>
                <c:pt idx="41" formatCode="_(* #,##0.0_);_(* \(#,##0.0\);_(* &quot;-&quot;??_);_(@_)">
                  <c:v>11.976701777682832</c:v>
                </c:pt>
                <c:pt idx="42" formatCode="_(* #,##0.0_);_(* \(#,##0.0\);_(* &quot;-&quot;??_);_(@_)">
                  <c:v>11.346349052541632</c:v>
                </c:pt>
                <c:pt idx="43" formatCode="_(* #,##0.0_);_(* \(#,##0.0\);_(* &quot;-&quot;??_);_(@_)">
                  <c:v>10.715996327400429</c:v>
                </c:pt>
                <c:pt idx="44" formatCode="_(* #,##0.0_);_(* \(#,##0.0\);_(* &quot;-&quot;??_);_(@_)">
                  <c:v>10.085643602259227</c:v>
                </c:pt>
                <c:pt idx="45" formatCode="_(* #,##0.0_);_(* \(#,##0.0\);_(* &quot;-&quot;??_);_(@_)">
                  <c:v>9.4552908771180242</c:v>
                </c:pt>
                <c:pt idx="46" formatCode="_(* #,##0.0_);_(* \(#,##0.0\);_(* &quot;-&quot;??_);_(@_)">
                  <c:v>8.8249381519768217</c:v>
                </c:pt>
                <c:pt idx="47" formatCode="_(* #,##0.0_);_(* \(#,##0.0\);_(* &quot;-&quot;??_);_(@_)">
                  <c:v>8.1945854268356193</c:v>
                </c:pt>
                <c:pt idx="48" formatCode="_(* #,##0.0_);_(* \(#,##0.0\);_(* &quot;-&quot;??_);_(@_)">
                  <c:v>7.564232701694416</c:v>
                </c:pt>
                <c:pt idx="49" formatCode="_(* #,##0.0_);_(* \(#,##0.0\);_(* &quot;-&quot;??_);_(@_)">
                  <c:v>6.9338799765532135</c:v>
                </c:pt>
                <c:pt idx="50" formatCode="_(* #,##0.0_);_(* \(#,##0.0\);_(* &quot;-&quot;??_);_(@_)">
                  <c:v>6.3035272514120209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1530-4FFE-9367-DD42121C1A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3495040"/>
        <c:axId val="126631936"/>
      </c:lineChart>
      <c:catAx>
        <c:axId val="13349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6631936"/>
        <c:crosses val="autoZero"/>
        <c:auto val="0"/>
        <c:lblAlgn val="ctr"/>
        <c:lblOffset val="100"/>
        <c:tickLblSkip val="2"/>
        <c:noMultiLvlLbl val="0"/>
      </c:catAx>
      <c:valAx>
        <c:axId val="126631936"/>
        <c:scaling>
          <c:orientation val="minMax"/>
          <c:max val="50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GHG (MMTCO2e)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33495040"/>
        <c:crosses val="autoZero"/>
        <c:crossBetween val="between"/>
      </c:valAx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3.9573329754094173E-3"/>
          <c:y val="0.91792153522787423"/>
          <c:w val="0.99579182690271306"/>
          <c:h val="8.2078464772125784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0.09591</cdr:x>
      <cdr:y>0.25197</cdr:y>
    </cdr:from>
    <cdr:to>
      <cdr:x>0.4996</cdr:x>
      <cdr:y>0.38725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59936" y="941606"/>
          <a:ext cx="1514988" cy="5055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960" b="1"/>
            <a:t>1990 GHG Level</a:t>
          </a:r>
        </a:p>
        <a:p xmlns:a="http://schemas.openxmlformats.org/drawingml/2006/main">
          <a:r>
            <a:rPr lang="en-US" sz="960" b="1"/>
            <a:t>(431 MMTCO2e)</a:t>
          </a:r>
        </a:p>
      </cdr:txBody>
    </cdr:sp>
  </cdr:relSizeAnchor>
  <cdr:relSizeAnchor xmlns:cdr="http://schemas.openxmlformats.org/drawingml/2006/chartDrawing">
    <cdr:from>
      <cdr:x>0.09669</cdr:x>
      <cdr:y>0.71098</cdr:y>
    </cdr:from>
    <cdr:to>
      <cdr:x>0.99369</cdr:x>
      <cdr:y>0.76599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362862" y="2656913"/>
          <a:ext cx="3366299" cy="2055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960" b="1">
              <a:effectLst/>
              <a:latin typeface="+mn-lt"/>
              <a:ea typeface="+mn-ea"/>
              <a:cs typeface="+mn-cs"/>
            </a:rPr>
            <a:t>80% below 1990 GHG Level  by 2050 (86 MMTCO2e)</a:t>
          </a:r>
          <a:endParaRPr lang="en-US" sz="960" b="1">
            <a:effectLst/>
          </a:endParaRPr>
        </a:p>
      </cdr:txBody>
    </cdr:sp>
  </cdr:relSizeAnchor>
  <cdr:relSizeAnchor xmlns:cdr="http://schemas.openxmlformats.org/drawingml/2006/chartDrawing">
    <cdr:from>
      <cdr:x>0.09903</cdr:x>
      <cdr:y>0.48305</cdr:y>
    </cdr:from>
    <cdr:to>
      <cdr:x>0.58716</cdr:x>
      <cdr:y>0.60754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588595" y="2209425"/>
          <a:ext cx="2901249" cy="5694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960" b="1"/>
            <a:t>40% below 1990 GHG Level  by 2030 (259 MMTCO2e)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4F5D1B534F4F409E43F3440FCEE6A5" ma:contentTypeVersion="2" ma:contentTypeDescription="Create a new document." ma:contentTypeScope="" ma:versionID="0d6bc899577cf7327c7d68c02c0945ab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19305c3418121b730b3d8c86b3eda730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9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61858-B4C5-4102-87BD-3B5415C4E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AF259A-1354-43E4-ADB7-FE13E46A7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4EED2-EB22-47BA-8136-843BEEEC054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5489ED-3441-4634-804A-52CF16E0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Exume, Brianna C</dc:creator>
  <cp:keywords/>
  <dc:description/>
  <cp:lastModifiedBy>Exume, Brianna C</cp:lastModifiedBy>
  <cp:revision>4</cp:revision>
  <cp:lastPrinted>2017-01-24T21:01:00Z</cp:lastPrinted>
  <dcterms:created xsi:type="dcterms:W3CDTF">2017-01-26T22:48:00Z</dcterms:created>
  <dcterms:modified xsi:type="dcterms:W3CDTF">2017-01-30T20:35:00Z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0x0101003F4F5D1B534F4F409E43F3440FCEE6A5</vt:lpwstr>
  </property>
</Properties>
</file>